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D7858">
      <w:pPr>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14:paraId="796E1BA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达州市司法局“矫正·刑释”人员</w:t>
      </w:r>
    </w:p>
    <w:p w14:paraId="1595C4D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cs="Times New Roman"/>
          <w:sz w:val="32"/>
          <w:szCs w:val="32"/>
        </w:rPr>
      </w:pPr>
      <w:r>
        <w:rPr>
          <w:rFonts w:hint="eastAsia" w:ascii="Times New Roman" w:hAnsi="Times New Roman" w:eastAsia="方正小标宋简体" w:cs="Times New Roman"/>
          <w:sz w:val="44"/>
          <w:szCs w:val="44"/>
        </w:rPr>
        <w:t>数智管控系统</w:t>
      </w:r>
      <w:r>
        <w:rPr>
          <w:rFonts w:ascii="Times New Roman" w:hAnsi="Times New Roman" w:eastAsia="方正小标宋简体" w:cs="Times New Roman"/>
          <w:sz w:val="44"/>
          <w:szCs w:val="44"/>
        </w:rPr>
        <w:t>项目需求说明书</w:t>
      </w:r>
    </w:p>
    <w:p w14:paraId="57D2A963">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一、</w:t>
      </w:r>
      <w:r>
        <w:rPr>
          <w:rFonts w:hint="eastAsia" w:ascii="黑体" w:hAnsi="黑体" w:eastAsia="黑体" w:cs="黑体"/>
          <w:color w:val="000000" w:themeColor="text1"/>
          <w14:textFill>
            <w14:solidFill>
              <w14:schemeClr w14:val="tx1"/>
            </w14:solidFill>
          </w14:textFill>
        </w:rPr>
        <w:t>建设背景</w:t>
      </w:r>
    </w:p>
    <w:p w14:paraId="0861FCB3">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（一）筑牢社会治安稳定防线，降低再犯风险。</w:t>
      </w:r>
      <w:bookmarkStart w:id="0" w:name="_GoBack"/>
      <w:bookmarkEnd w:id="0"/>
    </w:p>
    <w:p w14:paraId="322816C6">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社区矫正、安置帮教”对象具有一定特殊性，存在再次违法犯罪的风险，通过建设智管系统，能够实时掌握他们的行为动向、活动轨迹等关键信息，实现精准监管与有效预警，及时防范各类违法犯罪行为的发生，为达州市营造安全稳定的社会环境，为城市发展筑牢坚固的“安全堤坝”，是保障社会和谐有序的必要举措。</w:t>
      </w:r>
    </w:p>
    <w:p w14:paraId="46FE892A">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（二）提升社区矫正、安置帮教专业水平，强化帮扶精准性。</w:t>
      </w:r>
    </w:p>
    <w:p w14:paraId="2DE0E4EE">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智管系统能助力工作人员更全面、细致地了解“社区矫正、安置帮教”对象的具体情况，比如过往犯罪记录、矫正帮教阶段表现等各类信息，基于这些数据，工作人员可制定出更具针对性、个性化的矫正和帮扶方案，避免工作开展的盲目性，从而有效提升社区矫正及安置帮教工作的专业度和实际成效，确保整个过程科学且有序地推进。</w:t>
      </w:r>
    </w:p>
    <w:p w14:paraId="27BB3BAE">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（三）提高司法管理工作效能，优化工作流程。</w:t>
      </w:r>
    </w:p>
    <w:p w14:paraId="54ED450C">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传统的对“社区矫正、安置帮教”对象的管理模式面临着信息滞后、监管覆盖不全等诸多问题，而智管系统借助智能化、信息化的手段，可全面整合相关的人员信息、矫正帮扶记录等各类资源，极大地提高管理效率，减轻工作人员负担，让社区矫正、安置帮教工作能更加流畅、高效地开展，实现管理水平的全方位提升。</w:t>
      </w:r>
    </w:p>
    <w:p w14:paraId="2D7EB819">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（四）推动社会治理现代化进程，契合发展新要求。</w:t>
      </w:r>
    </w:p>
    <w:p w14:paraId="71696FA5">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在当前社会治理不断强调科技赋能、创新发展的大背景下，达州市司法局建设“矫正·刑释”人员数智管控系统，正是积极响应并践行社会治理现代化的体现。通过运用前沿的科技手段完善工作机制，提升整个地区社会治理的智能化、科学化程度，使其在社会治理领域紧跟时代步伐，展现出与时俱进的治理理念与能力，为达州市高质量发展贡献司法力量。</w:t>
      </w:r>
    </w:p>
    <w:p w14:paraId="70BBEB2C">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综合以上现状基础，达州市抢抓本轮创新发展机遇，尽快落地矫正、刑释人员智管系统建设项目，形成示范引领效应，助力社会治理现代化进程，是必然选择。</w:t>
      </w:r>
    </w:p>
    <w:p w14:paraId="386FE0E2">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二、项目目标和任务</w:t>
      </w:r>
    </w:p>
    <w:p w14:paraId="1A17182D">
      <w:pPr>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加强对社区矫正对象、安置帮教对象等重点人群的管控，加快推进市级司法行政系统信息化建设及信息化人才培养，按照部门协同，集约高效，避免重复建设的要求，构建达州市司法局“矫正·刑释”人员智管系统，落实国家关于“加强社会治安防控体系建设的总目标”的具体措施，实现对重点人群动态信息的实时掌握，提升监管精准性与有效性，有效预防再犯罪，促进社区矫正对象、安置帮教对象顺利融入社会，维护达州社会治安稳定。详细目标和任务如下：</w:t>
      </w:r>
    </w:p>
    <w:p w14:paraId="4932CE0C">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建设工期预计三个月。实现对“社区矫正、安置帮教”对象的动态管控、轨迹追踪、行为监测、风险预警以及政务人员的任务下发、数据统计与智能分析等功能，增强达州市司法局风险预警与防范能力，有效预防再犯罪，促进达州司法行政工作的规范化与信息化建设。</w:t>
      </w:r>
    </w:p>
    <w:p w14:paraId="68CA1D96">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default" w:ascii="黑体" w:hAnsi="黑体" w:eastAsia="黑体" w:cs="黑体"/>
          <w:color w:val="000000" w:themeColor="text1"/>
          <w:lang w:eastAsia="zh-CN"/>
          <w14:textFill>
            <w14:solidFill>
              <w14:schemeClr w14:val="tx1"/>
            </w14:solidFill>
          </w14:textFill>
        </w:rPr>
      </w:pPr>
      <w:r>
        <w:rPr>
          <w:rFonts w:hint="default" w:ascii="黑体" w:hAnsi="黑体" w:eastAsia="黑体" w:cs="黑体"/>
          <w:color w:val="000000" w:themeColor="text1"/>
          <w:lang w:eastAsia="zh-CN"/>
          <w14:textFill>
            <w14:solidFill>
              <w14:schemeClr w14:val="tx1"/>
            </w14:solidFill>
          </w14:textFill>
        </w:rPr>
        <w:t>三、</w:t>
      </w:r>
      <w:r>
        <w:rPr>
          <w:rFonts w:hint="eastAsia" w:ascii="黑体" w:hAnsi="黑体" w:eastAsia="黑体" w:cs="黑体"/>
          <w:color w:val="000000" w:themeColor="text1"/>
          <w:lang w:eastAsia="zh-CN"/>
          <w14:textFill>
            <w14:solidFill>
              <w14:schemeClr w14:val="tx1"/>
            </w14:solidFill>
          </w14:textFill>
        </w:rPr>
        <w:t>业务</w:t>
      </w:r>
      <w:r>
        <w:rPr>
          <w:rFonts w:hint="default" w:ascii="黑体" w:hAnsi="黑体" w:eastAsia="黑体" w:cs="黑体"/>
          <w:color w:val="000000" w:themeColor="text1"/>
          <w:lang w:eastAsia="zh-CN"/>
          <w14:textFill>
            <w14:solidFill>
              <w14:schemeClr w14:val="tx1"/>
            </w14:solidFill>
          </w14:textFill>
        </w:rPr>
        <w:t>需求</w:t>
      </w:r>
    </w:p>
    <w:p w14:paraId="0915AA58">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（一）建立电子台账，汇聚“社区矫正、安置帮教”对象重点人群</w:t>
      </w:r>
    </w:p>
    <w:p w14:paraId="1F34B7A8">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建立“社区矫正、安置帮教”对象等重点人群电子台账，目前暂定人员数据对接方式为离线拷贝导入，数据在导出时要进行数据加密，导入时进行解密，为数据分析打下基础。</w:t>
      </w:r>
    </w:p>
    <w:p w14:paraId="447658A9">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按照对社区矫正对象实施社区矫正和对安置帮教对象开展安置帮教工作的县（市、区）划分，分别录入社区矫正、安置帮教对象信息。</w:t>
      </w:r>
    </w:p>
    <w:p w14:paraId="0B3420D1">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（二）实现“社区矫正、安置帮教”对象等重点人群的分析和预警</w:t>
      </w:r>
    </w:p>
    <w:p w14:paraId="69DBA819">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利用大数据资源，通过无感管控手段掌握受管控人员行踪，包括实时人脸解析、各类订票、住宿等数据提供风险预警，例如受管控人员离开了所在地域、频繁出现在重点场所、在重要时间段出现在异地等预警分析。达州市司法局、各县（市、区）司法局分别确定一名责任人，发现预警信息时通过预警等级采取相应手段通知对应的责任人，一级信息通过电话进行通知，二级信息通过短信通知，三级信息通过平台推送。</w:t>
      </w:r>
    </w:p>
    <w:p w14:paraId="2ACCAD70">
      <w:pPr>
        <w:pStyle w:val="14"/>
        <w:keepNext w:val="0"/>
        <w:keepLines w:val="0"/>
        <w:pageBreakBefore w:val="0"/>
        <w:widowControl w:val="0"/>
        <w:kinsoku/>
        <w:wordWrap/>
        <w:overflowPunct/>
        <w:topLinePunct w:val="0"/>
        <w:autoSpaceDE/>
        <w:autoSpaceDN/>
        <w:bidi w:val="0"/>
        <w:spacing w:line="578" w:lineRule="exact"/>
        <w:ind w:left="0" w:firstLine="643" w:firstLineChars="200"/>
        <w:textAlignment w:val="auto"/>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1.</w:t>
      </w:r>
      <w:r>
        <w:rPr>
          <w:rFonts w:hint="eastAsia"/>
          <w:b/>
          <w:bCs/>
          <w:color w:val="000000" w:themeColor="text1"/>
          <w14:textFill>
            <w14:solidFill>
              <w14:schemeClr w14:val="tx1"/>
            </w14:solidFill>
          </w14:textFill>
        </w:rPr>
        <w:t>社区矫正三个分级：</w:t>
      </w:r>
    </w:p>
    <w:p w14:paraId="092659D0">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fldChar w:fldCharType="begin"/>
      </w:r>
      <w:r>
        <w:rPr>
          <w:rFonts w:hint="default" w:ascii="Calibri" w:hAnsi="Calibri" w:cs="Calibri"/>
          <w:color w:val="000000" w:themeColor="text1"/>
          <w14:textFill>
            <w14:solidFill>
              <w14:schemeClr w14:val="tx1"/>
            </w14:solidFill>
          </w14:textFill>
        </w:rPr>
        <w:instrText xml:space="preserve"> = 1 \* GB3 \* MERGEFORMAT </w:instrText>
      </w:r>
      <w:r>
        <w:rPr>
          <w:rFonts w:hint="default" w:ascii="Calibri" w:hAnsi="Calibri" w:cs="Calibri"/>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rFonts w:hint="default" w:ascii="Calibri" w:hAnsi="Calibri" w:cs="Calibri"/>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一级情况：发现社区矫正对象正在实施犯罪或者有犯罪倾向的；与他人发生重大矛盾纠纷的。（电话通知市司法局和县市区司法局责任人—立即处置）</w:t>
      </w:r>
    </w:p>
    <w:p w14:paraId="1F5035EA">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2 \* GB3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二级情况：发现社区矫正对象因违反法律法规被予以行政拘留的；涉嫌违法犯罪被刑事拘留或依法逮捕的；被强制隔离戒毒的；通过车站、高速路口等场所离开所在地域的；订购离开居住地的车票、飞机票的；在居住地外住宿、消费、上网的；名下车辆离开居住地的。（短信通知县市区司法局责任人—核查处置）</w:t>
      </w:r>
    </w:p>
    <w:p w14:paraId="63311212">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fldChar w:fldCharType="begin"/>
      </w:r>
      <w:r>
        <w:rPr>
          <w:rFonts w:hint="default" w:ascii="Calibri" w:hAnsi="Calibri" w:cs="Calibri"/>
          <w:color w:val="000000" w:themeColor="text1"/>
          <w14:textFill>
            <w14:solidFill>
              <w14:schemeClr w14:val="tx1"/>
            </w14:solidFill>
          </w14:textFill>
        </w:rPr>
        <w:instrText xml:space="preserve"> = 3 \* GB3 \* MERGEFORMAT </w:instrText>
      </w:r>
      <w:r>
        <w:rPr>
          <w:rFonts w:hint="default" w:ascii="Calibri" w:hAnsi="Calibri" w:cs="Calibri"/>
          <w:color w:val="000000" w:themeColor="text1"/>
          <w14:textFill>
            <w14:solidFill>
              <w14:schemeClr w14:val="tx1"/>
            </w14:solidFill>
          </w14:textFill>
        </w:rPr>
        <w:fldChar w:fldCharType="separate"/>
      </w:r>
      <w:r>
        <w:rPr>
          <w:color w:val="000000" w:themeColor="text1"/>
          <w14:textFill>
            <w14:solidFill>
              <w14:schemeClr w14:val="tx1"/>
            </w14:solidFill>
          </w14:textFill>
        </w:rPr>
        <w:t>③</w:t>
      </w:r>
      <w:r>
        <w:rPr>
          <w:rFonts w:hint="default" w:ascii="Calibri" w:hAnsi="Calibri" w:cs="Calibri"/>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三级情况：发现社区矫正对象频繁出现在重点场所、在重要时间段出现在异地的；在居住地外就医治疗的；水、电、气等家庭日常生活费用出现异常的。（平台推送至县市区司法局责任人—掌握处置）</w:t>
      </w:r>
    </w:p>
    <w:p w14:paraId="6C8F21FD">
      <w:pPr>
        <w:pStyle w:val="14"/>
        <w:keepNext w:val="0"/>
        <w:keepLines w:val="0"/>
        <w:pageBreakBefore w:val="0"/>
        <w:widowControl w:val="0"/>
        <w:kinsoku/>
        <w:wordWrap/>
        <w:overflowPunct/>
        <w:topLinePunct w:val="0"/>
        <w:autoSpaceDE/>
        <w:autoSpaceDN/>
        <w:bidi w:val="0"/>
        <w:spacing w:line="578" w:lineRule="exact"/>
        <w:ind w:left="0" w:firstLine="643" w:firstLineChars="200"/>
        <w:textAlignment w:val="auto"/>
        <w:rPr>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2.</w:t>
      </w:r>
      <w:r>
        <w:rPr>
          <w:rFonts w:hint="eastAsia"/>
          <w:b/>
          <w:bCs/>
          <w:color w:val="000000" w:themeColor="text1"/>
          <w14:textFill>
            <w14:solidFill>
              <w14:schemeClr w14:val="tx1"/>
            </w14:solidFill>
          </w14:textFill>
        </w:rPr>
        <w:t>安置帮教三个分级：</w:t>
      </w:r>
    </w:p>
    <w:p w14:paraId="4A17E4DD">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fldChar w:fldCharType="begin"/>
      </w:r>
      <w:r>
        <w:rPr>
          <w:rFonts w:hint="default" w:ascii="Calibri" w:hAnsi="Calibri" w:cs="Calibri"/>
          <w:color w:val="000000" w:themeColor="text1"/>
          <w14:textFill>
            <w14:solidFill>
              <w14:schemeClr w14:val="tx1"/>
            </w14:solidFill>
          </w14:textFill>
        </w:rPr>
        <w:instrText xml:space="preserve"> = 1 \* GB3 \* MERGEFORMAT </w:instrText>
      </w:r>
      <w:r>
        <w:rPr>
          <w:rFonts w:hint="default" w:ascii="Calibri" w:hAnsi="Calibri" w:cs="Calibri"/>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rFonts w:hint="default" w:ascii="Calibri" w:hAnsi="Calibri" w:cs="Calibri"/>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一级情况：发现安置帮教对象正在实施犯罪或者有犯罪倾向的；与他人发生重大矛盾纠纷的。（电话通知市司法局和县市区司法局责任人—立即处置）</w:t>
      </w:r>
    </w:p>
    <w:p w14:paraId="11B3D92A">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2 \* GB3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二级情况：发现安置帮教对象因违反法律法规被予以行政拘留的；涉嫌违法犯罪被刑事拘留或依法逮捕的；被强制隔离戒毒的。发现重点安置帮教对象以及三无人员通过车站、高速路口等场所离开达州的；订购离开达州车票、飞机票的；在达州外住宿、消费、上网的；名下车辆离开达州的；水、电、气等家庭日常生活费用出现异常的。（短信通知县市区司法局责任人—核查处置）</w:t>
      </w:r>
    </w:p>
    <w:p w14:paraId="3B9EE2CB">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fldChar w:fldCharType="begin"/>
      </w:r>
      <w:r>
        <w:rPr>
          <w:rFonts w:hint="default" w:ascii="Calibri" w:hAnsi="Calibri" w:cs="Calibri"/>
          <w:color w:val="000000" w:themeColor="text1"/>
          <w14:textFill>
            <w14:solidFill>
              <w14:schemeClr w14:val="tx1"/>
            </w14:solidFill>
          </w14:textFill>
        </w:rPr>
        <w:instrText xml:space="preserve"> = 3 \* GB3 \* MERGEFORMAT </w:instrText>
      </w:r>
      <w:r>
        <w:rPr>
          <w:rFonts w:hint="default" w:ascii="Calibri" w:hAnsi="Calibri" w:cs="Calibri"/>
          <w:color w:val="000000" w:themeColor="text1"/>
          <w14:textFill>
            <w14:solidFill>
              <w14:schemeClr w14:val="tx1"/>
            </w14:solidFill>
          </w14:textFill>
        </w:rPr>
        <w:fldChar w:fldCharType="separate"/>
      </w:r>
      <w:r>
        <w:rPr>
          <w:color w:val="000000" w:themeColor="text1"/>
          <w14:textFill>
            <w14:solidFill>
              <w14:schemeClr w14:val="tx1"/>
            </w14:solidFill>
          </w14:textFill>
        </w:rPr>
        <w:t>③</w:t>
      </w:r>
      <w:r>
        <w:rPr>
          <w:rFonts w:hint="default" w:ascii="Calibri" w:hAnsi="Calibri" w:cs="Calibri"/>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三级情况：发现一般安置帮教对象通过车站、高速路口等场所离开达州的；订购离开达州的车票、飞机票的；在达州外住宿、消费、上网的；频繁浏览非法网站、信息，网购危险物品的；名下车辆离开达州的；水、电、气等家庭日常生活费用出现异常的。（平台推送至县市区司法局责任人—掌握处置）</w:t>
      </w:r>
    </w:p>
    <w:p w14:paraId="596F6AF9">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（三）建立“社区矫正、安置帮教”对象等重点人群预警管控机制</w:t>
      </w:r>
    </w:p>
    <w:p w14:paraId="55F2892F">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实现对“社区矫正、安置帮教”对象等重点人群预警的任务下发、反馈记录和周期报告。</w:t>
      </w:r>
    </w:p>
    <w:p w14:paraId="0964CC1B">
      <w:pPr>
        <w:pStyle w:val="14"/>
        <w:keepNext w:val="0"/>
        <w:keepLines w:val="0"/>
        <w:pageBreakBefore w:val="0"/>
        <w:widowControl w:val="0"/>
        <w:numPr>
          <w:ilvl w:val="0"/>
          <w:numId w:val="1"/>
        </w:numPr>
        <w:kinsoku/>
        <w:wordWrap/>
        <w:overflowPunct/>
        <w:topLinePunct w:val="0"/>
        <w:autoSpaceDE/>
        <w:autoSpaceDN/>
        <w:bidi w:val="0"/>
        <w:spacing w:line="578" w:lineRule="exact"/>
        <w:ind w:left="0"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项目的主要内容及报价</w:t>
      </w:r>
    </w:p>
    <w:tbl>
      <w:tblPr>
        <w:tblStyle w:val="10"/>
        <w:tblW w:w="89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995"/>
        <w:gridCol w:w="2038"/>
        <w:gridCol w:w="1700"/>
        <w:gridCol w:w="1137"/>
      </w:tblGrid>
      <w:tr w14:paraId="32E6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20EB988A">
            <w:pPr>
              <w:widowControl/>
              <w:jc w:val="center"/>
              <w:rPr>
                <w:rFonts w:ascii="Times New Roman" w:hAnsi="Times New Roman" w:eastAsia="宋体" w:cs="Times New Roman"/>
                <w:b/>
                <w:bCs/>
                <w:color w:val="000000" w:themeColor="text1"/>
                <w:kern w:val="0"/>
                <w14:textFill>
                  <w14:solidFill>
                    <w14:schemeClr w14:val="tx1"/>
                  </w14:solidFill>
                </w14:textFill>
              </w:rPr>
            </w:pPr>
            <w:r>
              <w:rPr>
                <w:rFonts w:ascii="Times New Roman" w:hAnsi="Times New Roman" w:eastAsia="宋体" w:cs="Times New Roman"/>
                <w:b/>
                <w:bCs/>
                <w:color w:val="000000" w:themeColor="text1"/>
                <w:kern w:val="0"/>
                <w14:textFill>
                  <w14:solidFill>
                    <w14:schemeClr w14:val="tx1"/>
                  </w14:solidFill>
                </w14:textFill>
              </w:rPr>
              <w:t>序号</w:t>
            </w:r>
          </w:p>
        </w:tc>
        <w:tc>
          <w:tcPr>
            <w:tcW w:w="2995" w:type="dxa"/>
            <w:noWrap/>
            <w:vAlign w:val="center"/>
          </w:tcPr>
          <w:p w14:paraId="5DA60901">
            <w:pPr>
              <w:widowControl/>
              <w:jc w:val="center"/>
              <w:rPr>
                <w:rFonts w:ascii="Times New Roman" w:hAnsi="Times New Roman" w:eastAsia="宋体" w:cs="Times New Roman"/>
                <w:b/>
                <w:bCs/>
                <w:color w:val="000000" w:themeColor="text1"/>
                <w:kern w:val="0"/>
                <w14:textFill>
                  <w14:solidFill>
                    <w14:schemeClr w14:val="tx1"/>
                  </w14:solidFill>
                </w14:textFill>
              </w:rPr>
            </w:pPr>
            <w:r>
              <w:rPr>
                <w:rFonts w:ascii="Times New Roman" w:hAnsi="Times New Roman" w:eastAsia="宋体" w:cs="Times New Roman"/>
                <w:b/>
                <w:bCs/>
                <w:color w:val="000000" w:themeColor="text1"/>
                <w:kern w:val="0"/>
                <w:lang w:bidi="ar"/>
                <w14:textFill>
                  <w14:solidFill>
                    <w14:schemeClr w14:val="tx1"/>
                  </w14:solidFill>
                </w14:textFill>
              </w:rPr>
              <w:t>软件平台建设</w:t>
            </w:r>
            <w:r>
              <w:rPr>
                <w:rFonts w:hint="eastAsia" w:ascii="Times New Roman" w:hAnsi="Times New Roman" w:eastAsia="宋体" w:cs="Times New Roman"/>
                <w:b/>
                <w:bCs/>
                <w:color w:val="000000" w:themeColor="text1"/>
                <w:kern w:val="0"/>
                <w:lang w:eastAsia="zh-CN"/>
                <w14:textFill>
                  <w14:solidFill>
                    <w14:schemeClr w14:val="tx1"/>
                  </w14:solidFill>
                </w14:textFill>
              </w:rPr>
              <w:t>项目内容</w:t>
            </w:r>
          </w:p>
        </w:tc>
        <w:tc>
          <w:tcPr>
            <w:tcW w:w="2038" w:type="dxa"/>
            <w:noWrap/>
            <w:vAlign w:val="center"/>
          </w:tcPr>
          <w:p w14:paraId="6EE7F727">
            <w:pPr>
              <w:widowControl/>
              <w:jc w:val="center"/>
              <w:rPr>
                <w:rFonts w:ascii="Times New Roman" w:hAnsi="Times New Roman" w:eastAsia="宋体" w:cs="Times New Roman"/>
                <w:b/>
                <w:bCs/>
                <w:color w:val="000000" w:themeColor="text1"/>
                <w:kern w:val="0"/>
                <w14:textFill>
                  <w14:solidFill>
                    <w14:schemeClr w14:val="tx1"/>
                  </w14:solidFill>
                </w14:textFill>
              </w:rPr>
            </w:pPr>
            <w:r>
              <w:rPr>
                <w:rFonts w:hint="eastAsia" w:ascii="Times New Roman" w:hAnsi="Times New Roman" w:eastAsia="宋体" w:cs="Times New Roman"/>
                <w:b/>
                <w:bCs/>
                <w:color w:val="000000" w:themeColor="text1"/>
                <w:kern w:val="0"/>
                <w:lang w:eastAsia="zh-CN"/>
                <w14:textFill>
                  <w14:solidFill>
                    <w14:schemeClr w14:val="tx1"/>
                  </w14:solidFill>
                </w14:textFill>
              </w:rPr>
              <w:t>是否符合功能需要</w:t>
            </w:r>
          </w:p>
        </w:tc>
        <w:tc>
          <w:tcPr>
            <w:tcW w:w="1700" w:type="dxa"/>
            <w:noWrap/>
            <w:vAlign w:val="center"/>
          </w:tcPr>
          <w:p w14:paraId="2D74DDB5">
            <w:pPr>
              <w:widowControl/>
              <w:jc w:val="center"/>
              <w:rPr>
                <w:rFonts w:hint="eastAsia" w:ascii="Times New Roman" w:hAnsi="Times New Roman" w:eastAsia="宋体" w:cs="Times New Roman"/>
                <w:b/>
                <w:bCs/>
                <w:color w:val="000000" w:themeColor="text1"/>
                <w:kern w:val="0"/>
                <w:lang w:eastAsia="zh-CN"/>
                <w14:textFill>
                  <w14:solidFill>
                    <w14:schemeClr w14:val="tx1"/>
                  </w14:solidFill>
                </w14:textFill>
              </w:rPr>
            </w:pPr>
            <w:r>
              <w:rPr>
                <w:rFonts w:hint="eastAsia" w:ascii="Times New Roman" w:hAnsi="Times New Roman" w:eastAsia="宋体" w:cs="Times New Roman"/>
                <w:b/>
                <w:bCs/>
                <w:color w:val="000000" w:themeColor="text1"/>
                <w:kern w:val="0"/>
                <w:lang w:eastAsia="zh-CN"/>
                <w14:textFill>
                  <w14:solidFill>
                    <w14:schemeClr w14:val="tx1"/>
                  </w14:solidFill>
                </w14:textFill>
              </w:rPr>
              <w:t>报价（万元）</w:t>
            </w:r>
          </w:p>
        </w:tc>
        <w:tc>
          <w:tcPr>
            <w:tcW w:w="1137" w:type="dxa"/>
            <w:noWrap/>
            <w:vAlign w:val="center"/>
          </w:tcPr>
          <w:p w14:paraId="47EAB8FB">
            <w:pPr>
              <w:widowControl/>
              <w:jc w:val="center"/>
              <w:rPr>
                <w:rFonts w:hint="eastAsia" w:ascii="Times New Roman" w:hAnsi="Times New Roman" w:eastAsia="宋体" w:cs="Times New Roman"/>
                <w:b/>
                <w:bCs/>
                <w:color w:val="000000" w:themeColor="text1"/>
                <w:kern w:val="0"/>
                <w:lang w:eastAsia="zh-CN"/>
                <w14:textFill>
                  <w14:solidFill>
                    <w14:schemeClr w14:val="tx1"/>
                  </w14:solidFill>
                </w14:textFill>
              </w:rPr>
            </w:pPr>
            <w:r>
              <w:rPr>
                <w:rFonts w:hint="eastAsia" w:ascii="Times New Roman" w:hAnsi="Times New Roman" w:eastAsia="宋体" w:cs="Times New Roman"/>
                <w:b/>
                <w:bCs/>
                <w:color w:val="000000" w:themeColor="text1"/>
                <w:kern w:val="0"/>
                <w:lang w:eastAsia="zh-CN"/>
                <w14:textFill>
                  <w14:solidFill>
                    <w14:schemeClr w14:val="tx1"/>
                  </w14:solidFill>
                </w14:textFill>
              </w:rPr>
              <w:t>备注</w:t>
            </w:r>
          </w:p>
        </w:tc>
      </w:tr>
      <w:tr w14:paraId="4E92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13317951">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w:t>
            </w:r>
          </w:p>
        </w:tc>
        <w:tc>
          <w:tcPr>
            <w:tcW w:w="2995" w:type="dxa"/>
            <w:noWrap w:val="0"/>
            <w:vAlign w:val="center"/>
          </w:tcPr>
          <w:p w14:paraId="550CEF16">
            <w:pPr>
              <w:widowControl/>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一图展示</w:t>
            </w:r>
          </w:p>
        </w:tc>
        <w:tc>
          <w:tcPr>
            <w:tcW w:w="2038" w:type="dxa"/>
            <w:noWrap w:val="0"/>
            <w:vAlign w:val="center"/>
          </w:tcPr>
          <w:p w14:paraId="6552D674">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655E15FF">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3C22465F">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157C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5C027BEE">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w:t>
            </w:r>
          </w:p>
        </w:tc>
        <w:tc>
          <w:tcPr>
            <w:tcW w:w="2995" w:type="dxa"/>
            <w:noWrap w:val="0"/>
            <w:vAlign w:val="center"/>
          </w:tcPr>
          <w:p w14:paraId="6CE2083B">
            <w:pPr>
              <w:widowControl/>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重点人员管理</w:t>
            </w:r>
          </w:p>
        </w:tc>
        <w:tc>
          <w:tcPr>
            <w:tcW w:w="2038" w:type="dxa"/>
            <w:noWrap w:val="0"/>
            <w:vAlign w:val="center"/>
          </w:tcPr>
          <w:p w14:paraId="058A8F65">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0E3A9607">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66BA4863">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7C4F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2DF97E12">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w:t>
            </w:r>
          </w:p>
        </w:tc>
        <w:tc>
          <w:tcPr>
            <w:tcW w:w="2995" w:type="dxa"/>
            <w:noWrap w:val="0"/>
            <w:vAlign w:val="center"/>
          </w:tcPr>
          <w:p w14:paraId="3B025810">
            <w:pPr>
              <w:widowControl/>
              <w:jc w:val="left"/>
              <w:rPr>
                <w:rFonts w:ascii="Times New Roman" w:hAnsi="Times New Roman" w:eastAsia="宋体" w:cs="Times New Roman"/>
                <w:color w:val="000000" w:themeColor="text1"/>
                <w:kern w:val="0"/>
                <w14:textFill>
                  <w14:solidFill>
                    <w14:schemeClr w14:val="tx1"/>
                  </w14:solidFill>
                </w14:textFill>
              </w:rPr>
            </w:pPr>
            <w:r>
              <w:rPr>
                <w:rFonts w:hint="eastAsia" w:ascii="Times New Roman" w:hAnsi="Times New Roman" w:eastAsia="宋体" w:cs="Times New Roman"/>
                <w:color w:val="000000" w:themeColor="text1"/>
                <w:kern w:val="0"/>
                <w14:textFill>
                  <w14:solidFill>
                    <w14:schemeClr w14:val="tx1"/>
                  </w14:solidFill>
                </w14:textFill>
              </w:rPr>
              <w:t>专门学校</w:t>
            </w:r>
            <w:r>
              <w:rPr>
                <w:rFonts w:ascii="Times New Roman" w:hAnsi="Times New Roman" w:eastAsia="宋体" w:cs="Times New Roman"/>
                <w:color w:val="000000" w:themeColor="text1"/>
                <w:kern w:val="0"/>
                <w14:textFill>
                  <w14:solidFill>
                    <w14:schemeClr w14:val="tx1"/>
                  </w14:solidFill>
                </w14:textFill>
              </w:rPr>
              <w:t>学生管控</w:t>
            </w:r>
          </w:p>
        </w:tc>
        <w:tc>
          <w:tcPr>
            <w:tcW w:w="2038" w:type="dxa"/>
            <w:noWrap w:val="0"/>
            <w:vAlign w:val="center"/>
          </w:tcPr>
          <w:p w14:paraId="6530112E">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21DE47DE">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06906ABD">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0199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3F6D575D">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w:t>
            </w:r>
          </w:p>
        </w:tc>
        <w:tc>
          <w:tcPr>
            <w:tcW w:w="2995" w:type="dxa"/>
            <w:noWrap w:val="0"/>
            <w:vAlign w:val="center"/>
          </w:tcPr>
          <w:p w14:paraId="39416488">
            <w:pPr>
              <w:widowControl/>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布控报警管理</w:t>
            </w:r>
          </w:p>
        </w:tc>
        <w:tc>
          <w:tcPr>
            <w:tcW w:w="2038" w:type="dxa"/>
            <w:noWrap w:val="0"/>
            <w:vAlign w:val="center"/>
          </w:tcPr>
          <w:p w14:paraId="40CD3730">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082E0404">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1832CBD5">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46FF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55256AE2">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5</w:t>
            </w:r>
          </w:p>
        </w:tc>
        <w:tc>
          <w:tcPr>
            <w:tcW w:w="2995" w:type="dxa"/>
            <w:noWrap w:val="0"/>
            <w:vAlign w:val="center"/>
          </w:tcPr>
          <w:p w14:paraId="4670AE21">
            <w:pPr>
              <w:widowControl/>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预警管理</w:t>
            </w:r>
          </w:p>
        </w:tc>
        <w:tc>
          <w:tcPr>
            <w:tcW w:w="2038" w:type="dxa"/>
            <w:noWrap w:val="0"/>
            <w:vAlign w:val="center"/>
          </w:tcPr>
          <w:p w14:paraId="24BEFCE1">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2D25C56B">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68235CE9">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0F57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769284C8">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6</w:t>
            </w:r>
          </w:p>
        </w:tc>
        <w:tc>
          <w:tcPr>
            <w:tcW w:w="2995" w:type="dxa"/>
            <w:noWrap w:val="0"/>
            <w:vAlign w:val="center"/>
          </w:tcPr>
          <w:p w14:paraId="11039AD7">
            <w:pPr>
              <w:widowControl/>
              <w:jc w:val="left"/>
              <w:rPr>
                <w:rFonts w:hint="eastAsia"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任务管理</w:t>
            </w:r>
            <w:r>
              <w:rPr>
                <w:rFonts w:hint="eastAsia" w:ascii="Times New Roman" w:hAnsi="Times New Roman" w:eastAsia="宋体" w:cs="Times New Roman"/>
                <w:color w:val="000000" w:themeColor="text1"/>
                <w:kern w:val="0"/>
                <w14:textFill>
                  <w14:solidFill>
                    <w14:schemeClr w14:val="tx1"/>
                  </w14:solidFill>
                </w14:textFill>
              </w:rPr>
              <w:t>（含APP功能）</w:t>
            </w:r>
          </w:p>
        </w:tc>
        <w:tc>
          <w:tcPr>
            <w:tcW w:w="2038" w:type="dxa"/>
            <w:noWrap w:val="0"/>
            <w:vAlign w:val="center"/>
          </w:tcPr>
          <w:p w14:paraId="7B4DFE8A">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6E86738F">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3DFE6DD3">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7B81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0" w:type="dxa"/>
            <w:noWrap/>
            <w:vAlign w:val="center"/>
          </w:tcPr>
          <w:p w14:paraId="65E0EF92">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7</w:t>
            </w:r>
          </w:p>
        </w:tc>
        <w:tc>
          <w:tcPr>
            <w:tcW w:w="2995" w:type="dxa"/>
            <w:noWrap w:val="0"/>
            <w:vAlign w:val="center"/>
          </w:tcPr>
          <w:p w14:paraId="4B319134">
            <w:pPr>
              <w:widowControl/>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应急处置管理</w:t>
            </w:r>
          </w:p>
        </w:tc>
        <w:tc>
          <w:tcPr>
            <w:tcW w:w="2038" w:type="dxa"/>
            <w:noWrap w:val="0"/>
            <w:vAlign w:val="center"/>
          </w:tcPr>
          <w:p w14:paraId="07D2CFCC">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5EB524DD">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53C79E5C">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690F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1886654A">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8</w:t>
            </w:r>
          </w:p>
        </w:tc>
        <w:tc>
          <w:tcPr>
            <w:tcW w:w="2995" w:type="dxa"/>
            <w:noWrap w:val="0"/>
            <w:vAlign w:val="center"/>
          </w:tcPr>
          <w:p w14:paraId="20A1D486">
            <w:pPr>
              <w:widowControl/>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系统管理</w:t>
            </w:r>
          </w:p>
        </w:tc>
        <w:tc>
          <w:tcPr>
            <w:tcW w:w="2038" w:type="dxa"/>
            <w:noWrap w:val="0"/>
            <w:vAlign w:val="center"/>
          </w:tcPr>
          <w:p w14:paraId="5BAF055D">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626513CE">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3495E4F8">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6F94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7C3C2CC6">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9</w:t>
            </w:r>
          </w:p>
        </w:tc>
        <w:tc>
          <w:tcPr>
            <w:tcW w:w="2995" w:type="dxa"/>
            <w:noWrap w:val="0"/>
            <w:vAlign w:val="center"/>
          </w:tcPr>
          <w:p w14:paraId="48A399F0">
            <w:pPr>
              <w:widowControl/>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统计分析</w:t>
            </w:r>
          </w:p>
        </w:tc>
        <w:tc>
          <w:tcPr>
            <w:tcW w:w="2038" w:type="dxa"/>
            <w:noWrap w:val="0"/>
            <w:vAlign w:val="center"/>
          </w:tcPr>
          <w:p w14:paraId="6B31265C">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64207DB4">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6E391C46">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0DB7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0" w:type="dxa"/>
            <w:noWrap/>
            <w:vAlign w:val="center"/>
          </w:tcPr>
          <w:p w14:paraId="1DA9D60F">
            <w:pPr>
              <w:widowControl/>
              <w:jc w:val="center"/>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10</w:t>
            </w:r>
          </w:p>
        </w:tc>
        <w:tc>
          <w:tcPr>
            <w:tcW w:w="2995" w:type="dxa"/>
            <w:noWrap w:val="0"/>
            <w:vAlign w:val="center"/>
          </w:tcPr>
          <w:p w14:paraId="1B7D2115">
            <w:pPr>
              <w:widowControl/>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数据集成与对接</w:t>
            </w:r>
          </w:p>
        </w:tc>
        <w:tc>
          <w:tcPr>
            <w:tcW w:w="2038" w:type="dxa"/>
            <w:noWrap w:val="0"/>
            <w:vAlign w:val="center"/>
          </w:tcPr>
          <w:p w14:paraId="4191E261">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700" w:type="dxa"/>
            <w:noWrap w:val="0"/>
            <w:vAlign w:val="center"/>
          </w:tcPr>
          <w:p w14:paraId="32FC3BB7">
            <w:pPr>
              <w:widowControl/>
              <w:jc w:val="center"/>
              <w:rPr>
                <w:rFonts w:ascii="Times New Roman" w:hAnsi="Times New Roman" w:eastAsia="宋体" w:cs="Times New Roman"/>
                <w:color w:val="000000" w:themeColor="text1"/>
                <w:kern w:val="0"/>
                <w14:textFill>
                  <w14:solidFill>
                    <w14:schemeClr w14:val="tx1"/>
                  </w14:solidFill>
                </w14:textFill>
              </w:rPr>
            </w:pPr>
          </w:p>
        </w:tc>
        <w:tc>
          <w:tcPr>
            <w:tcW w:w="1137" w:type="dxa"/>
            <w:noWrap w:val="0"/>
            <w:vAlign w:val="center"/>
          </w:tcPr>
          <w:p w14:paraId="0A662379">
            <w:pPr>
              <w:widowControl/>
              <w:jc w:val="center"/>
              <w:rPr>
                <w:rFonts w:ascii="Times New Roman" w:hAnsi="Times New Roman" w:eastAsia="宋体" w:cs="Times New Roman"/>
                <w:color w:val="000000" w:themeColor="text1"/>
                <w:kern w:val="0"/>
                <w14:textFill>
                  <w14:solidFill>
                    <w14:schemeClr w14:val="tx1"/>
                  </w14:solidFill>
                </w14:textFill>
              </w:rPr>
            </w:pPr>
          </w:p>
        </w:tc>
      </w:tr>
      <w:tr w14:paraId="44F5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085" w:type="dxa"/>
            <w:gridSpan w:val="2"/>
            <w:noWrap/>
            <w:vAlign w:val="center"/>
          </w:tcPr>
          <w:p w14:paraId="1BE31D27">
            <w:pPr>
              <w:widowControl/>
              <w:ind w:firstLine="1054" w:firstLineChars="500"/>
              <w:jc w:val="left"/>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b/>
                <w:bCs/>
                <w:color w:val="000000" w:themeColor="text1"/>
                <w:kern w:val="0"/>
                <w:lang w:bidi="ar"/>
                <w14:textFill>
                  <w14:solidFill>
                    <w14:schemeClr w14:val="tx1"/>
                  </w14:solidFill>
                </w14:textFill>
              </w:rPr>
              <w:t>项目</w:t>
            </w:r>
            <w:r>
              <w:rPr>
                <w:rFonts w:hint="eastAsia" w:ascii="Times New Roman" w:hAnsi="Times New Roman" w:eastAsia="宋体" w:cs="Times New Roman"/>
                <w:b/>
                <w:bCs/>
                <w:color w:val="000000" w:themeColor="text1"/>
                <w:kern w:val="0"/>
                <w:lang w:eastAsia="zh-CN" w:bidi="ar"/>
                <w14:textFill>
                  <w14:solidFill>
                    <w14:schemeClr w14:val="tx1"/>
                  </w14:solidFill>
                </w14:textFill>
              </w:rPr>
              <w:t>报价合计金额</w:t>
            </w:r>
            <w:r>
              <w:rPr>
                <w:rFonts w:ascii="Times New Roman" w:hAnsi="Times New Roman" w:eastAsia="宋体" w:cs="Times New Roman"/>
                <w:b/>
                <w:bCs/>
                <w:color w:val="000000" w:themeColor="text1"/>
                <w:kern w:val="0"/>
                <w:lang w:bidi="ar"/>
                <w14:textFill>
                  <w14:solidFill>
                    <w14:schemeClr w14:val="tx1"/>
                  </w14:solidFill>
                </w14:textFill>
              </w:rPr>
              <w:t>（万元）</w:t>
            </w:r>
          </w:p>
        </w:tc>
        <w:tc>
          <w:tcPr>
            <w:tcW w:w="2038" w:type="dxa"/>
            <w:noWrap w:val="0"/>
            <w:vAlign w:val="center"/>
          </w:tcPr>
          <w:p w14:paraId="33DAD9B8">
            <w:pPr>
              <w:widowControl/>
              <w:jc w:val="center"/>
              <w:rPr>
                <w:rFonts w:ascii="Times New Roman" w:hAnsi="Times New Roman" w:eastAsia="宋体" w:cs="Times New Roman"/>
                <w:b/>
                <w:bCs/>
                <w:color w:val="000000" w:themeColor="text1"/>
                <w:kern w:val="0"/>
                <w14:textFill>
                  <w14:solidFill>
                    <w14:schemeClr w14:val="tx1"/>
                  </w14:solidFill>
                </w14:textFill>
              </w:rPr>
            </w:pPr>
          </w:p>
        </w:tc>
        <w:tc>
          <w:tcPr>
            <w:tcW w:w="1700" w:type="dxa"/>
            <w:noWrap w:val="0"/>
            <w:vAlign w:val="center"/>
          </w:tcPr>
          <w:p w14:paraId="084C483E">
            <w:pPr>
              <w:widowControl/>
              <w:jc w:val="center"/>
              <w:rPr>
                <w:rFonts w:ascii="Times New Roman" w:hAnsi="Times New Roman" w:eastAsia="宋体" w:cs="Times New Roman"/>
                <w:b/>
                <w:bCs/>
                <w:color w:val="000000" w:themeColor="text1"/>
                <w:kern w:val="0"/>
                <w14:textFill>
                  <w14:solidFill>
                    <w14:schemeClr w14:val="tx1"/>
                  </w14:solidFill>
                </w14:textFill>
              </w:rPr>
            </w:pPr>
          </w:p>
        </w:tc>
        <w:tc>
          <w:tcPr>
            <w:tcW w:w="1137" w:type="dxa"/>
            <w:noWrap w:val="0"/>
            <w:vAlign w:val="center"/>
          </w:tcPr>
          <w:p w14:paraId="66E054E2">
            <w:pPr>
              <w:widowControl/>
              <w:jc w:val="center"/>
              <w:rPr>
                <w:rFonts w:ascii="Times New Roman" w:hAnsi="Times New Roman" w:eastAsia="宋体" w:cs="Times New Roman"/>
                <w:b/>
                <w:bCs/>
                <w:color w:val="000000" w:themeColor="text1"/>
                <w:kern w:val="0"/>
                <w14:textFill>
                  <w14:solidFill>
                    <w14:schemeClr w14:val="tx1"/>
                  </w14:solidFill>
                </w14:textFill>
              </w:rPr>
            </w:pPr>
          </w:p>
        </w:tc>
      </w:tr>
    </w:tbl>
    <w:p w14:paraId="760D0507">
      <w:pPr>
        <w:pStyle w:val="14"/>
        <w:keepNext w:val="0"/>
        <w:keepLines w:val="0"/>
        <w:pageBreakBefore w:val="0"/>
        <w:widowControl w:val="0"/>
        <w:numPr>
          <w:ilvl w:val="0"/>
          <w:numId w:val="1"/>
        </w:numPr>
        <w:kinsoku/>
        <w:wordWrap/>
        <w:overflowPunct/>
        <w:topLinePunct w:val="0"/>
        <w:autoSpaceDE/>
        <w:autoSpaceDN/>
        <w:bidi w:val="0"/>
        <w:spacing w:line="578" w:lineRule="exact"/>
        <w:ind w:left="0" w:firstLine="640" w:firstLineChars="200"/>
        <w:textAlignment w:val="auto"/>
        <w:rPr>
          <w:rFonts w:hint="default"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备份和运维</w:t>
      </w:r>
      <w:r>
        <w:rPr>
          <w:rFonts w:hint="default" w:ascii="黑体" w:hAnsi="黑体" w:eastAsia="黑体" w:cs="黑体"/>
          <w:color w:val="000000" w:themeColor="text1"/>
          <w:lang w:eastAsia="zh-CN"/>
          <w14:textFill>
            <w14:solidFill>
              <w14:schemeClr w14:val="tx1"/>
            </w14:solidFill>
          </w14:textFill>
        </w:rPr>
        <w:t>需求</w:t>
      </w:r>
    </w:p>
    <w:p w14:paraId="303902CE">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b/>
          <w:bCs/>
          <w:color w:val="000000" w:themeColor="text1"/>
          <w:lang w:val="en-US" w:eastAsia="zh-CN"/>
          <w14:textFill>
            <w14:solidFill>
              <w14:schemeClr w14:val="tx1"/>
            </w14:solidFill>
          </w14:textFill>
        </w:rPr>
      </w:pPr>
      <w:r>
        <w:rPr>
          <w:rStyle w:val="21"/>
          <w:rFonts w:hint="eastAsia"/>
          <w:color w:val="000000" w:themeColor="text1"/>
          <w14:textFill>
            <w14:solidFill>
              <w14:schemeClr w14:val="tx1"/>
            </w14:solidFill>
          </w14:textFill>
        </w:rPr>
        <w:t>（一）备份需求。</w:t>
      </w:r>
    </w:p>
    <w:p w14:paraId="09B351F1">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备份对象：主要分为四大类，系统配置信息、数据库数据、图片、附件等数据。</w:t>
      </w:r>
    </w:p>
    <w:p w14:paraId="3F5B2FB7">
      <w:pPr>
        <w:pStyle w:val="14"/>
        <w:keepNext w:val="0"/>
        <w:keepLines w:val="0"/>
        <w:pageBreakBefore w:val="0"/>
        <w:widowControl w:val="0"/>
        <w:kinsoku/>
        <w:wordWrap/>
        <w:overflowPunct/>
        <w:topLinePunct w:val="0"/>
        <w:autoSpaceDE/>
        <w:autoSpaceDN/>
        <w:bidi w:val="0"/>
        <w:spacing w:line="578" w:lineRule="exact"/>
        <w:ind w:left="0" w:firstLine="643" w:firstLineChars="200"/>
        <w:textAlignment w:val="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1.备份原则：</w:t>
      </w:r>
    </w:p>
    <w:p w14:paraId="2842686B">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fldChar w:fldCharType="begin"/>
      </w:r>
      <w:r>
        <w:rPr>
          <w:rFonts w:hint="default" w:ascii="Calibri" w:hAnsi="Calibri" w:cs="Calibri"/>
          <w:color w:val="000000" w:themeColor="text1"/>
          <w14:textFill>
            <w14:solidFill>
              <w14:schemeClr w14:val="tx1"/>
            </w14:solidFill>
          </w14:textFill>
        </w:rPr>
        <w:instrText xml:space="preserve"> = 1 \* GB3 \* MERGEFORMAT </w:instrText>
      </w:r>
      <w:r>
        <w:rPr>
          <w:rFonts w:hint="default" w:ascii="Calibri" w:hAnsi="Calibri" w:cs="Calibri"/>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rFonts w:hint="default" w:ascii="Calibri" w:hAnsi="Calibri" w:cs="Calibri"/>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完整性：要求备份的数据完整，恢复后能够满足信息系统运行的要求；</w:t>
      </w:r>
    </w:p>
    <w:p w14:paraId="16ACA671">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2 \* GB3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时效性：信息系统最新状态下的数据要求具有备份；</w:t>
      </w:r>
    </w:p>
    <w:p w14:paraId="787A0128">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fldChar w:fldCharType="begin"/>
      </w:r>
      <w:r>
        <w:rPr>
          <w:rFonts w:hint="default" w:ascii="Calibri" w:hAnsi="Calibri" w:cs="Calibri"/>
          <w:color w:val="000000" w:themeColor="text1"/>
          <w14:textFill>
            <w14:solidFill>
              <w14:schemeClr w14:val="tx1"/>
            </w14:solidFill>
          </w14:textFill>
        </w:rPr>
        <w:instrText xml:space="preserve"> = 3 \* GB3 \* MERGEFORMAT </w:instrText>
      </w:r>
      <w:r>
        <w:rPr>
          <w:rFonts w:hint="default" w:ascii="Calibri" w:hAnsi="Calibri" w:cs="Calibri"/>
          <w:color w:val="000000" w:themeColor="text1"/>
          <w14:textFill>
            <w14:solidFill>
              <w14:schemeClr w14:val="tx1"/>
            </w14:solidFill>
          </w14:textFill>
        </w:rPr>
        <w:fldChar w:fldCharType="separate"/>
      </w:r>
      <w:r>
        <w:rPr>
          <w:color w:val="000000" w:themeColor="text1"/>
          <w14:textFill>
            <w14:solidFill>
              <w14:schemeClr w14:val="tx1"/>
            </w14:solidFill>
          </w14:textFill>
        </w:rPr>
        <w:t>③</w:t>
      </w:r>
      <w:r>
        <w:rPr>
          <w:rFonts w:hint="default" w:ascii="Calibri" w:hAnsi="Calibri" w:cs="Calibri"/>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容灾性：要求备份的数据存放在异机；</w:t>
      </w:r>
    </w:p>
    <w:p w14:paraId="7B8B6000">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4 \* GB3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④</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节点性：要求信息系统在重大变更之前进行数据备份。</w:t>
      </w:r>
    </w:p>
    <w:p w14:paraId="2CEEE599">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5 \* GB3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⑤</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备份介质：主要采用专用存储服务器，移动存储介质做为辅助。备份介质由专人负责管理，未经批准不能操作。</w:t>
      </w:r>
    </w:p>
    <w:p w14:paraId="63EAF353">
      <w:pPr>
        <w:pStyle w:val="14"/>
        <w:keepNext w:val="0"/>
        <w:keepLines w:val="0"/>
        <w:pageBreakBefore w:val="0"/>
        <w:widowControl w:val="0"/>
        <w:kinsoku/>
        <w:wordWrap/>
        <w:overflowPunct/>
        <w:topLinePunct w:val="0"/>
        <w:autoSpaceDE/>
        <w:autoSpaceDN/>
        <w:bidi w:val="0"/>
        <w:spacing w:line="578" w:lineRule="exact"/>
        <w:ind w:left="0" w:firstLine="643" w:firstLineChars="200"/>
        <w:textAlignment w:val="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2.备份管理：</w:t>
      </w:r>
    </w:p>
    <w:p w14:paraId="4785A1B3">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fldChar w:fldCharType="begin"/>
      </w:r>
      <w:r>
        <w:rPr>
          <w:rFonts w:hint="default" w:ascii="Calibri" w:hAnsi="Calibri" w:cs="Calibri"/>
          <w:color w:val="000000" w:themeColor="text1"/>
          <w14:textFill>
            <w14:solidFill>
              <w14:schemeClr w14:val="tx1"/>
            </w14:solidFill>
          </w14:textFill>
        </w:rPr>
        <w:instrText xml:space="preserve"> = 1 \* GB3 \* MERGEFORMAT </w:instrText>
      </w:r>
      <w:r>
        <w:rPr>
          <w:rFonts w:hint="default" w:ascii="Calibri" w:hAnsi="Calibri" w:cs="Calibri"/>
          <w:color w:val="000000" w:themeColor="text1"/>
          <w14:textFill>
            <w14:solidFill>
              <w14:schemeClr w14:val="tx1"/>
            </w14:solidFill>
          </w14:textFill>
        </w:rPr>
        <w:fldChar w:fldCharType="separate"/>
      </w:r>
      <w:r>
        <w:rPr>
          <w:color w:val="000000" w:themeColor="text1"/>
          <w14:textFill>
            <w14:solidFill>
              <w14:schemeClr w14:val="tx1"/>
            </w14:solidFill>
          </w14:textFill>
        </w:rPr>
        <w:t>①</w:t>
      </w:r>
      <w:r>
        <w:rPr>
          <w:rFonts w:hint="default" w:ascii="Calibri" w:hAnsi="Calibri" w:cs="Calibri"/>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数据库数据：采用定时备份，要求每周至少做1次完全备份，备份时间安排在业务空闲期（如周末或晚上等时段）；每天至少做1次增量备份，备份时间安排在业务空闲期（如晚上）；</w:t>
      </w:r>
    </w:p>
    <w:p w14:paraId="6C99351A">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 2 \* GB3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②</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图片、附件：重要的图片和附件初始为完全备份，每天做1次差异备份；</w:t>
      </w:r>
    </w:p>
    <w:p w14:paraId="28E05E82">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default" w:ascii="Calibri" w:hAnsi="Calibri" w:cs="Calibri"/>
          <w:color w:val="000000" w:themeColor="text1"/>
          <w14:textFill>
            <w14:solidFill>
              <w14:schemeClr w14:val="tx1"/>
            </w14:solidFill>
          </w14:textFill>
        </w:rPr>
        <w:fldChar w:fldCharType="begin"/>
      </w:r>
      <w:r>
        <w:rPr>
          <w:rFonts w:hint="default" w:ascii="Calibri" w:hAnsi="Calibri" w:cs="Calibri"/>
          <w:color w:val="000000" w:themeColor="text1"/>
          <w14:textFill>
            <w14:solidFill>
              <w14:schemeClr w14:val="tx1"/>
            </w14:solidFill>
          </w14:textFill>
        </w:rPr>
        <w:instrText xml:space="preserve"> = 3 \* GB3 \* MERGEFORMAT </w:instrText>
      </w:r>
      <w:r>
        <w:rPr>
          <w:rFonts w:hint="default" w:ascii="Calibri" w:hAnsi="Calibri" w:cs="Calibri"/>
          <w:color w:val="000000" w:themeColor="text1"/>
          <w14:textFill>
            <w14:solidFill>
              <w14:schemeClr w14:val="tx1"/>
            </w14:solidFill>
          </w14:textFill>
        </w:rPr>
        <w:fldChar w:fldCharType="separate"/>
      </w:r>
      <w:r>
        <w:rPr>
          <w:color w:val="000000" w:themeColor="text1"/>
          <w14:textFill>
            <w14:solidFill>
              <w14:schemeClr w14:val="tx1"/>
            </w14:solidFill>
          </w14:textFill>
        </w:rPr>
        <w:t>③</w:t>
      </w:r>
      <w:r>
        <w:rPr>
          <w:rFonts w:hint="default" w:ascii="Calibri" w:hAnsi="Calibri" w:cs="Calibri"/>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非结构化数据采用在线镜像备份：通过底层raid或镜像方式进行文件备份；另每季度或半年进行一次备份。</w:t>
      </w:r>
    </w:p>
    <w:p w14:paraId="5374287D">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（二）运维需求。</w:t>
      </w:r>
    </w:p>
    <w:p w14:paraId="63DF6516">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应保证用户信息系统的正常运行，降低整体管理成本，提高网络信息系统的整体服务水平。同时根据日常维护的数据和记录，提供系统的整体建设规划和建议，更好的为用户的信息化发展提供有力的保障。</w:t>
      </w:r>
    </w:p>
    <w:p w14:paraId="0C35EB37">
      <w:pPr>
        <w:pStyle w:val="14"/>
        <w:keepNext w:val="0"/>
        <w:keepLines w:val="0"/>
        <w:pageBreakBefore w:val="0"/>
        <w:widowControl w:val="0"/>
        <w:kinsoku/>
        <w:wordWrap/>
        <w:overflowPunct/>
        <w:topLinePunct w:val="0"/>
        <w:autoSpaceDE/>
        <w:autoSpaceDN/>
        <w:bidi w:val="0"/>
        <w:spacing w:line="578" w:lineRule="exact"/>
        <w:ind w:left="0" w:firstLine="643" w:firstLineChars="200"/>
        <w:textAlignment w:val="auto"/>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1.</w:t>
      </w:r>
      <w:r>
        <w:rPr>
          <w:rFonts w:hint="eastAsia"/>
          <w:b/>
          <w:bCs/>
          <w:color w:val="000000" w:themeColor="text1"/>
          <w14:textFill>
            <w14:solidFill>
              <w14:schemeClr w14:val="tx1"/>
            </w14:solidFill>
          </w14:textFill>
        </w:rPr>
        <w:t>日常维护：</w:t>
      </w:r>
      <w:r>
        <w:rPr>
          <w:rFonts w:hint="eastAsia"/>
          <w:color w:val="000000" w:themeColor="text1"/>
          <w14:textFill>
            <w14:solidFill>
              <w14:schemeClr w14:val="tx1"/>
            </w14:solidFill>
          </w14:textFill>
        </w:rPr>
        <w:t>在项目质保期内由工程承建方提供运维服务，按照合同约定内容和时间提供电话响应和服务。5×8小时的日常监控和管理，7×24小时电话、邮件、短信响应，节假日值守和应急预案的处理，具体内容由管理部门规定。</w:t>
      </w:r>
    </w:p>
    <w:p w14:paraId="54B84976">
      <w:pPr>
        <w:pStyle w:val="14"/>
        <w:keepNext w:val="0"/>
        <w:keepLines w:val="0"/>
        <w:pageBreakBefore w:val="0"/>
        <w:widowControl w:val="0"/>
        <w:kinsoku/>
        <w:wordWrap/>
        <w:overflowPunct/>
        <w:topLinePunct w:val="0"/>
        <w:autoSpaceDE/>
        <w:autoSpaceDN/>
        <w:bidi w:val="0"/>
        <w:spacing w:line="578" w:lineRule="exact"/>
        <w:ind w:left="0" w:firstLine="643" w:firstLineChars="200"/>
        <w:textAlignment w:val="auto"/>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2.</w:t>
      </w:r>
      <w:r>
        <w:rPr>
          <w:rFonts w:hint="eastAsia"/>
          <w:b/>
          <w:bCs/>
          <w:color w:val="000000" w:themeColor="text1"/>
          <w14:textFill>
            <w14:solidFill>
              <w14:schemeClr w14:val="tx1"/>
            </w14:solidFill>
          </w14:textFill>
        </w:rPr>
        <w:t>按月巡检：</w:t>
      </w:r>
      <w:r>
        <w:rPr>
          <w:rFonts w:hint="eastAsia"/>
          <w:color w:val="000000" w:themeColor="text1"/>
          <w14:textFill>
            <w14:solidFill>
              <w14:schemeClr w14:val="tx1"/>
            </w14:solidFill>
          </w14:textFill>
        </w:rPr>
        <w:t>在项目质保期内由工程承建方按月对系统进行全面检查，优化系统，对可能出现的故障提出解决预案并提供必要的指导。</w:t>
      </w:r>
    </w:p>
    <w:p w14:paraId="64D1864C">
      <w:pPr>
        <w:pStyle w:val="18"/>
        <w:keepNext w:val="0"/>
        <w:keepLines w:val="0"/>
        <w:pageBreakBefore w:val="0"/>
        <w:widowControl w:val="0"/>
        <w:kinsoku/>
        <w:wordWrap/>
        <w:overflowPunct/>
        <w:topLinePunct w:val="0"/>
        <w:autoSpaceDE/>
        <w:autoSpaceDN/>
        <w:bidi w:val="0"/>
        <w:spacing w:line="578" w:lineRule="exact"/>
        <w:ind w:left="0" w:firstLine="640" w:firstLineChars="200"/>
        <w:textAlignment w:val="auto"/>
        <w:outlineLvl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五、其他要求</w:t>
      </w:r>
    </w:p>
    <w:p w14:paraId="044500C8">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color w:val="000000" w:themeColor="text1"/>
          <w14:textFill>
            <w14:solidFill>
              <w14:schemeClr w14:val="tx1"/>
            </w14:solidFill>
          </w14:textFill>
        </w:rPr>
      </w:pPr>
      <w:r>
        <w:rPr>
          <w:rStyle w:val="21"/>
          <w:color w:val="000000" w:themeColor="text1"/>
          <w14:textFill>
            <w14:solidFill>
              <w14:schemeClr w14:val="tx1"/>
            </w14:solidFill>
          </w14:textFill>
        </w:rPr>
        <w:t>（一）</w:t>
      </w:r>
      <w:r>
        <w:rPr>
          <w:rStyle w:val="21"/>
          <w:rFonts w:hint="eastAsia"/>
          <w:color w:val="000000" w:themeColor="text1"/>
          <w14:textFill>
            <w14:solidFill>
              <w14:schemeClr w14:val="tx1"/>
            </w14:solidFill>
          </w14:textFill>
        </w:rPr>
        <w:t>保密要求</w:t>
      </w:r>
      <w:r>
        <w:rPr>
          <w:rStyle w:val="21"/>
          <w:color w:val="000000" w:themeColor="text1"/>
          <w14:textFill>
            <w14:solidFill>
              <w14:schemeClr w14:val="tx1"/>
            </w14:solidFill>
          </w14:textFill>
        </w:rPr>
        <w:t>。</w:t>
      </w:r>
    </w:p>
    <w:p w14:paraId="132823AA">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color w:val="000000" w:themeColor="text1"/>
          <w14:textFill>
            <w14:solidFill>
              <w14:schemeClr w14:val="tx1"/>
            </w14:solidFill>
          </w14:textFill>
        </w:rPr>
      </w:pPr>
      <w:r>
        <w:rPr>
          <w:rStyle w:val="21"/>
          <w:rFonts w:hint="eastAsia"/>
          <w:color w:val="000000" w:themeColor="text1"/>
          <w14:textFill>
            <w14:solidFill>
              <w14:schemeClr w14:val="tx1"/>
            </w14:solidFill>
          </w14:textFill>
        </w:rPr>
        <w:t>为提高网络和应用系统使用人的安全保密意识，增强责任感，确保网络和信息安全保密，根据“谁主管、谁负责”、“谁使用、谁负责”的管理责任制，要求如下：</w:t>
      </w:r>
    </w:p>
    <w:p w14:paraId="7C6EBED8">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1.提供的所有资料及数据，仅供本项目小组人员参考使用，须严守资料中所涉秘密、妥善保管，不得泄露、遗失、转借、复印。</w:t>
      </w:r>
    </w:p>
    <w:p w14:paraId="3F9C5C94">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2.发现或理应发现的保密事项已经泄露或可能泄露时，应当立即采取补救措施，同时报告我方。</w:t>
      </w:r>
    </w:p>
    <w:p w14:paraId="147D121B">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Style w:val="21"/>
          <w:rFonts w:hint="eastAsia"/>
          <w:color w:val="000000" w:themeColor="text1"/>
          <w14:textFill>
            <w14:solidFill>
              <w14:schemeClr w14:val="tx1"/>
            </w14:solidFill>
          </w14:textFill>
        </w:rPr>
      </w:pPr>
      <w:r>
        <w:rPr>
          <w:rStyle w:val="21"/>
          <w:rFonts w:hint="eastAsia"/>
          <w:color w:val="000000" w:themeColor="text1"/>
          <w14:textFill>
            <w14:solidFill>
              <w14:schemeClr w14:val="tx1"/>
            </w14:solidFill>
          </w14:textFill>
        </w:rPr>
        <w:t>（二）培训要求。</w:t>
      </w:r>
    </w:p>
    <w:p w14:paraId="15128056">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需配合我方在提供的环境下用户及软件使用人员提供系统安装部署、软件操作规程、系统运行维护方法培训，并按用户要求提供培训教材、产品宣传手册；同时，在系统交付第三方用户后，如我方提出要求，每年提供不少于3次软件使用培训，对系统部署、软件操作规程、系统运行维护方法进行培训。</w:t>
      </w:r>
    </w:p>
    <w:p w14:paraId="1C1DB464">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采用三种培训方式：项目培训（集中授课培训）、实践培训、现场培训。根据项目培训需要，选择相应培训方式。</w:t>
      </w:r>
    </w:p>
    <w:p w14:paraId="3A9E1BBF">
      <w:pPr>
        <w:pStyle w:val="14"/>
        <w:keepNext w:val="0"/>
        <w:keepLines w:val="0"/>
        <w:pageBreakBefore w:val="0"/>
        <w:widowControl w:val="0"/>
        <w:kinsoku/>
        <w:wordWrap/>
        <w:overflowPunct/>
        <w:topLinePunct w:val="0"/>
        <w:autoSpaceDE/>
        <w:autoSpaceDN/>
        <w:bidi w:val="0"/>
        <w:spacing w:line="578" w:lineRule="exact"/>
        <w:ind w:left="0" w:firstLine="643" w:firstLineChars="200"/>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 项目培训</w:t>
      </w:r>
    </w:p>
    <w:p w14:paraId="5E9B49CC">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提供系统的理论学习，并根据不同课程加以实验环境下的实际操作，使用户快速了解系统功能。学习过程中提供完备的中文学习资料，如有问题，随问随答。根据用户的不同需求，将培训分为普通应用型和高级管理型。</w:t>
      </w:r>
    </w:p>
    <w:p w14:paraId="066B0808">
      <w:pPr>
        <w:pStyle w:val="14"/>
        <w:keepNext w:val="0"/>
        <w:keepLines w:val="0"/>
        <w:pageBreakBefore w:val="0"/>
        <w:widowControl w:val="0"/>
        <w:kinsoku/>
        <w:wordWrap/>
        <w:overflowPunct/>
        <w:topLinePunct w:val="0"/>
        <w:autoSpaceDE/>
        <w:autoSpaceDN/>
        <w:bidi w:val="0"/>
        <w:spacing w:line="578" w:lineRule="exact"/>
        <w:ind w:left="0" w:firstLine="643" w:firstLineChars="200"/>
        <w:textAlignment w:val="auto"/>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 实践培训</w:t>
      </w:r>
    </w:p>
    <w:p w14:paraId="531FC41E">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针对系统管理员，在整个项目的实施过程中，由实施单位、用户单位的一名或多名系统管理员对项目进行全方位、全过程参与。通过跟项目，系统管理员会对系统有着深刻的理解，在日后的系统管理中，能够熟练使用应用软件、发挥系统应用的能力。</w:t>
      </w:r>
    </w:p>
    <w:p w14:paraId="04B388FF">
      <w:pPr>
        <w:pStyle w:val="14"/>
        <w:keepNext w:val="0"/>
        <w:keepLines w:val="0"/>
        <w:pageBreakBefore w:val="0"/>
        <w:widowControl w:val="0"/>
        <w:kinsoku/>
        <w:wordWrap/>
        <w:overflowPunct/>
        <w:topLinePunct w:val="0"/>
        <w:autoSpaceDE/>
        <w:autoSpaceDN/>
        <w:bidi w:val="0"/>
        <w:spacing w:line="578" w:lineRule="exact"/>
        <w:ind w:left="0" w:firstLine="643" w:firstLineChars="200"/>
        <w:textAlignment w:val="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 现场培训</w:t>
      </w:r>
    </w:p>
    <w:p w14:paraId="3ADD2414">
      <w:pPr>
        <w:pStyle w:val="14"/>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eastAsia="仿宋"/>
          <w:color w:val="000000" w:themeColor="text1"/>
          <w14:textFill>
            <w14:solidFill>
              <w14:schemeClr w14:val="tx1"/>
            </w14:solidFill>
          </w14:textFill>
        </w:rPr>
      </w:pPr>
      <w:r>
        <w:rPr>
          <w:rFonts w:hint="eastAsia"/>
          <w:color w:val="000000" w:themeColor="text1"/>
          <w14:textFill>
            <w14:solidFill>
              <w14:schemeClr w14:val="tx1"/>
            </w14:solidFill>
          </w14:textFill>
        </w:rPr>
        <w:t>在实际使用环境中，对系统用户进行实际使用操作培训，并对培训过程中出现的问题进行解答。培训时间及培训次数根据用户需求进行安排。</w:t>
      </w:r>
    </w:p>
    <w:sectPr>
      <w:headerReference r:id="rId3" w:type="first"/>
      <w:pgSz w:w="11906" w:h="16838"/>
      <w:pgMar w:top="2098" w:right="1474" w:bottom="1984"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ED37">
    <w:pPr>
      <w:pStyle w:val="6"/>
      <w:pBdr>
        <w:bottom w:val="none" w:color="auto" w:sz="0" w:space="0"/>
      </w:pBdr>
      <w:spacing w:line="720" w:lineRule="exact"/>
      <w:rPr>
        <w:rFonts w:ascii="方正小标宋_GBK" w:eastAsia="方正小标宋_GBK"/>
        <w:color w:val="FF0000"/>
        <w:spacing w:val="57"/>
        <w:w w:val="88"/>
        <w:kern w:val="32"/>
        <w:sz w:val="88"/>
        <w:szCs w:val="8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B74B5"/>
    <w:multiLevelType w:val="singleLevel"/>
    <w:tmpl w:val="2ADB74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N2E3MDUwZmRhZWUxNGY0ZDdiNDdmOGRjMzhkMGUifQ=="/>
    <w:docVar w:name="KSO_WPS_MARK_KEY" w:val="4fe35cfd-755c-49cf-aa9a-a6178c9e6f56"/>
  </w:docVars>
  <w:rsids>
    <w:rsidRoot w:val="71AB18A1"/>
    <w:rsid w:val="00001898"/>
    <w:rsid w:val="0013386F"/>
    <w:rsid w:val="00157C82"/>
    <w:rsid w:val="001C2D7C"/>
    <w:rsid w:val="001D2812"/>
    <w:rsid w:val="00264F9E"/>
    <w:rsid w:val="0036782F"/>
    <w:rsid w:val="003773FB"/>
    <w:rsid w:val="003E4E72"/>
    <w:rsid w:val="004B2CA5"/>
    <w:rsid w:val="004C46DC"/>
    <w:rsid w:val="005061AA"/>
    <w:rsid w:val="005256FD"/>
    <w:rsid w:val="00611E6B"/>
    <w:rsid w:val="00692F30"/>
    <w:rsid w:val="006D50D2"/>
    <w:rsid w:val="006F2E92"/>
    <w:rsid w:val="00827BDE"/>
    <w:rsid w:val="008D17C5"/>
    <w:rsid w:val="009320D5"/>
    <w:rsid w:val="009B699F"/>
    <w:rsid w:val="00A0274A"/>
    <w:rsid w:val="00BA47FC"/>
    <w:rsid w:val="00C00C2E"/>
    <w:rsid w:val="00C63B1C"/>
    <w:rsid w:val="00DE5B8F"/>
    <w:rsid w:val="00E01997"/>
    <w:rsid w:val="00E237E1"/>
    <w:rsid w:val="00EB65ED"/>
    <w:rsid w:val="01372718"/>
    <w:rsid w:val="03334F0C"/>
    <w:rsid w:val="07FC1C65"/>
    <w:rsid w:val="09247DCC"/>
    <w:rsid w:val="0A650C83"/>
    <w:rsid w:val="0AF62081"/>
    <w:rsid w:val="0AFFADA1"/>
    <w:rsid w:val="0B2A4E4E"/>
    <w:rsid w:val="0EB70347"/>
    <w:rsid w:val="0FDF4595"/>
    <w:rsid w:val="11EA166F"/>
    <w:rsid w:val="13B378BE"/>
    <w:rsid w:val="16E40CC8"/>
    <w:rsid w:val="18B25EA3"/>
    <w:rsid w:val="197E1D62"/>
    <w:rsid w:val="1E215788"/>
    <w:rsid w:val="1F7FF779"/>
    <w:rsid w:val="1FBF2C02"/>
    <w:rsid w:val="1FFFE291"/>
    <w:rsid w:val="25672EFA"/>
    <w:rsid w:val="279F3C2A"/>
    <w:rsid w:val="28A7CADC"/>
    <w:rsid w:val="2B0521C7"/>
    <w:rsid w:val="2BE6AF4F"/>
    <w:rsid w:val="2BFC5927"/>
    <w:rsid w:val="2DFF27D5"/>
    <w:rsid w:val="2EEFB7E4"/>
    <w:rsid w:val="31BD45C7"/>
    <w:rsid w:val="32903E41"/>
    <w:rsid w:val="37777FAC"/>
    <w:rsid w:val="391C5646"/>
    <w:rsid w:val="3A5C3B41"/>
    <w:rsid w:val="3B900596"/>
    <w:rsid w:val="3BF607F6"/>
    <w:rsid w:val="3C516D14"/>
    <w:rsid w:val="3CABBA3F"/>
    <w:rsid w:val="3CD20BE5"/>
    <w:rsid w:val="3CFE1AD2"/>
    <w:rsid w:val="3EB31818"/>
    <w:rsid w:val="3EFBFE83"/>
    <w:rsid w:val="3FD700C9"/>
    <w:rsid w:val="3FF74A06"/>
    <w:rsid w:val="3FFF2E28"/>
    <w:rsid w:val="45810DBE"/>
    <w:rsid w:val="48916DA1"/>
    <w:rsid w:val="4AD14F9E"/>
    <w:rsid w:val="4AD570DD"/>
    <w:rsid w:val="4DFF10A7"/>
    <w:rsid w:val="4FCB3D0E"/>
    <w:rsid w:val="532F30EC"/>
    <w:rsid w:val="53361170"/>
    <w:rsid w:val="549679ED"/>
    <w:rsid w:val="55FCE21A"/>
    <w:rsid w:val="57B4CE41"/>
    <w:rsid w:val="597FD6E3"/>
    <w:rsid w:val="5A0B1A42"/>
    <w:rsid w:val="5AD63B31"/>
    <w:rsid w:val="5BCF303D"/>
    <w:rsid w:val="5C8FD563"/>
    <w:rsid w:val="5DF778D2"/>
    <w:rsid w:val="5DFF9B2D"/>
    <w:rsid w:val="5E25F472"/>
    <w:rsid w:val="5F3EE1B9"/>
    <w:rsid w:val="5F9F5B9D"/>
    <w:rsid w:val="5FF656C0"/>
    <w:rsid w:val="5FFF0095"/>
    <w:rsid w:val="617E4961"/>
    <w:rsid w:val="63BE65AF"/>
    <w:rsid w:val="64E40BC9"/>
    <w:rsid w:val="6795034C"/>
    <w:rsid w:val="67DFA4D3"/>
    <w:rsid w:val="6A760478"/>
    <w:rsid w:val="6AFC0F38"/>
    <w:rsid w:val="6BBBE35D"/>
    <w:rsid w:val="6C250CD2"/>
    <w:rsid w:val="6D1E25D5"/>
    <w:rsid w:val="6D2DFFC0"/>
    <w:rsid w:val="6DF06214"/>
    <w:rsid w:val="6EE05876"/>
    <w:rsid w:val="6EEBC5C3"/>
    <w:rsid w:val="6F9F2743"/>
    <w:rsid w:val="6FCDE771"/>
    <w:rsid w:val="6FDAB73C"/>
    <w:rsid w:val="6FEBF5CA"/>
    <w:rsid w:val="71AB18A1"/>
    <w:rsid w:val="73F7E6B5"/>
    <w:rsid w:val="75B91839"/>
    <w:rsid w:val="77BD93DE"/>
    <w:rsid w:val="77CF9010"/>
    <w:rsid w:val="77D9EC53"/>
    <w:rsid w:val="79FF277B"/>
    <w:rsid w:val="7B5FF7FD"/>
    <w:rsid w:val="7B7E7117"/>
    <w:rsid w:val="7BCD3B60"/>
    <w:rsid w:val="7BDC5281"/>
    <w:rsid w:val="7BDF15C1"/>
    <w:rsid w:val="7C5487AD"/>
    <w:rsid w:val="7D1636F3"/>
    <w:rsid w:val="7D4E405F"/>
    <w:rsid w:val="7D6D2475"/>
    <w:rsid w:val="7D6FB852"/>
    <w:rsid w:val="7DEF9879"/>
    <w:rsid w:val="7DFF2ED6"/>
    <w:rsid w:val="7DFF5B1A"/>
    <w:rsid w:val="7DFF5D9E"/>
    <w:rsid w:val="7E6D4EF2"/>
    <w:rsid w:val="7EF688E8"/>
    <w:rsid w:val="7F7B8D74"/>
    <w:rsid w:val="7F7D362E"/>
    <w:rsid w:val="7F9F8692"/>
    <w:rsid w:val="7FECC311"/>
    <w:rsid w:val="7FF9A4B0"/>
    <w:rsid w:val="7FFF36C3"/>
    <w:rsid w:val="7FFF71C0"/>
    <w:rsid w:val="7FFF856E"/>
    <w:rsid w:val="7FFFCDD3"/>
    <w:rsid w:val="8FF7A86B"/>
    <w:rsid w:val="97775E88"/>
    <w:rsid w:val="9CFADB39"/>
    <w:rsid w:val="A6FBE9E7"/>
    <w:rsid w:val="AAF3C2C3"/>
    <w:rsid w:val="AFEF4452"/>
    <w:rsid w:val="BBDA4131"/>
    <w:rsid w:val="BD778E78"/>
    <w:rsid w:val="BF671F80"/>
    <w:rsid w:val="BF7DBBE8"/>
    <w:rsid w:val="BF7FA096"/>
    <w:rsid w:val="C717D7B4"/>
    <w:rsid w:val="C9FFE9C2"/>
    <w:rsid w:val="CEFB7FFD"/>
    <w:rsid w:val="CEFFA8ED"/>
    <w:rsid w:val="CFFA1B8B"/>
    <w:rsid w:val="D7FB1BE5"/>
    <w:rsid w:val="D9F54E96"/>
    <w:rsid w:val="D9FE5055"/>
    <w:rsid w:val="DC69102A"/>
    <w:rsid w:val="DD77075C"/>
    <w:rsid w:val="DEF7CCC0"/>
    <w:rsid w:val="DFC6198C"/>
    <w:rsid w:val="DFEB55B3"/>
    <w:rsid w:val="E69AF6EE"/>
    <w:rsid w:val="E75B11A8"/>
    <w:rsid w:val="E9CFDF3C"/>
    <w:rsid w:val="ED5B8C96"/>
    <w:rsid w:val="ED5E5EEC"/>
    <w:rsid w:val="EDFFAF7C"/>
    <w:rsid w:val="EE3FB8F4"/>
    <w:rsid w:val="EF753DE7"/>
    <w:rsid w:val="EFCBAD6F"/>
    <w:rsid w:val="EFFFA1C2"/>
    <w:rsid w:val="F17F11DC"/>
    <w:rsid w:val="F5FE2CB5"/>
    <w:rsid w:val="F74D369C"/>
    <w:rsid w:val="F7BD73C4"/>
    <w:rsid w:val="F7F5F093"/>
    <w:rsid w:val="F7F76C76"/>
    <w:rsid w:val="F7FAEA42"/>
    <w:rsid w:val="FB7F1603"/>
    <w:rsid w:val="FBBF14F7"/>
    <w:rsid w:val="FBF9FF77"/>
    <w:rsid w:val="FCBF1CBC"/>
    <w:rsid w:val="FCDC1A99"/>
    <w:rsid w:val="FCF4664A"/>
    <w:rsid w:val="FDEBA4A9"/>
    <w:rsid w:val="FDF39309"/>
    <w:rsid w:val="FDFD4B5D"/>
    <w:rsid w:val="FE573BDC"/>
    <w:rsid w:val="FEB6817F"/>
    <w:rsid w:val="FEE78FEA"/>
    <w:rsid w:val="FF39DBE5"/>
    <w:rsid w:val="FFFA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qFormat/>
    <w:uiPriority w:val="0"/>
    <w:pPr>
      <w:spacing w:line="540" w:lineRule="exact"/>
      <w:ind w:firstLine="624" w:firstLineChars="200"/>
    </w:pPr>
  </w:style>
  <w:style w:type="paragraph" w:styleId="3">
    <w:name w:val="Body Text"/>
    <w:basedOn w:val="1"/>
    <w:next w:val="4"/>
    <w:qFormat/>
    <w:uiPriority w:val="0"/>
    <w:pPr>
      <w:spacing w:before="120" w:after="120"/>
    </w:pPr>
    <w:rPr>
      <w:rFonts w:ascii="Calibri" w:hAnsi="Calibri" w:eastAsia="宋体" w:cs="Times New Roman"/>
      <w:sz w:val="24"/>
    </w:rPr>
  </w:style>
  <w:style w:type="paragraph" w:styleId="4">
    <w:name w:val="Plain Text"/>
    <w:basedOn w:val="1"/>
    <w:unhideWhenUsed/>
    <w:qFormat/>
    <w:uiPriority w:val="99"/>
    <w:rPr>
      <w:rFonts w:hAnsi="Courier New" w:cs="Courier New" w:asciiTheme="minorEastAsi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3"/>
    <w:unhideWhenUsed/>
    <w:qFormat/>
    <w:uiPriority w:val="99"/>
    <w:pPr>
      <w:ind w:firstLine="420" w:firstLineChars="100"/>
    </w:pPr>
  </w:style>
  <w:style w:type="paragraph" w:styleId="9">
    <w:name w:val="Body Text First Indent 2"/>
    <w:basedOn w:val="2"/>
    <w:next w:val="1"/>
    <w:qFormat/>
    <w:uiPriority w:val="0"/>
    <w:pPr>
      <w:spacing w:after="120" w:line="240" w:lineRule="auto"/>
      <w:ind w:left="420" w:leftChars="200" w:firstLine="420"/>
    </w:p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paragraph" w:customStyle="1" w:styleId="14">
    <w:name w:val="公文正文"/>
    <w:basedOn w:val="1"/>
    <w:link w:val="19"/>
    <w:qFormat/>
    <w:uiPriority w:val="0"/>
    <w:pPr>
      <w:adjustRightInd w:val="0"/>
      <w:snapToGrid w:val="0"/>
      <w:spacing w:line="578" w:lineRule="exact"/>
      <w:ind w:firstLine="880" w:firstLineChars="200"/>
    </w:pPr>
    <w:rPr>
      <w:rFonts w:ascii="Times New Roman" w:hAnsi="Times New Roman" w:eastAsia="仿宋_GB2312" w:cs="Times New Roman"/>
      <w:sz w:val="32"/>
      <w:szCs w:val="32"/>
    </w:rPr>
  </w:style>
  <w:style w:type="paragraph" w:customStyle="1" w:styleId="15">
    <w:name w:val="公文标题4"/>
    <w:basedOn w:val="14"/>
    <w:qFormat/>
    <w:uiPriority w:val="0"/>
  </w:style>
  <w:style w:type="paragraph" w:customStyle="1" w:styleId="16">
    <w:name w:val="公文标题2"/>
    <w:basedOn w:val="14"/>
    <w:next w:val="14"/>
    <w:link w:val="21"/>
    <w:qFormat/>
    <w:uiPriority w:val="0"/>
    <w:rPr>
      <w:rFonts w:eastAsia="楷体_GB2312"/>
    </w:rPr>
  </w:style>
  <w:style w:type="paragraph" w:customStyle="1" w:styleId="17">
    <w:name w:val="公文标题"/>
    <w:basedOn w:val="1"/>
    <w:next w:val="14"/>
    <w:qFormat/>
    <w:uiPriority w:val="0"/>
    <w:pPr>
      <w:adjustRightInd w:val="0"/>
      <w:snapToGrid w:val="0"/>
      <w:spacing w:line="660" w:lineRule="exact"/>
      <w:jc w:val="center"/>
    </w:pPr>
    <w:rPr>
      <w:rFonts w:hint="eastAsia" w:ascii="Times New Roman" w:hAnsi="Times New Roman" w:eastAsia="方正小标宋简体"/>
      <w:sz w:val="44"/>
      <w:szCs w:val="44"/>
    </w:rPr>
  </w:style>
  <w:style w:type="paragraph" w:customStyle="1" w:styleId="18">
    <w:name w:val="公文标题1"/>
    <w:basedOn w:val="14"/>
    <w:next w:val="14"/>
    <w:qFormat/>
    <w:uiPriority w:val="0"/>
    <w:rPr>
      <w:rFonts w:hint="eastAsia" w:eastAsia="黑体"/>
    </w:rPr>
  </w:style>
  <w:style w:type="character" w:customStyle="1" w:styleId="19">
    <w:name w:val="公文正文 Char"/>
    <w:link w:val="14"/>
    <w:qFormat/>
    <w:uiPriority w:val="0"/>
    <w:rPr>
      <w:rFonts w:ascii="Times New Roman" w:hAnsi="Times New Roman" w:eastAsia="仿宋_GB2312" w:cs="Times New Roman"/>
      <w:sz w:val="32"/>
      <w:szCs w:val="32"/>
    </w:rPr>
  </w:style>
  <w:style w:type="paragraph" w:customStyle="1" w:styleId="20">
    <w:name w:val="正文首行缩进2字符"/>
    <w:qFormat/>
    <w:uiPriority w:val="0"/>
    <w:pPr>
      <w:spacing w:line="360" w:lineRule="auto"/>
      <w:ind w:firstLine="200" w:firstLineChars="200"/>
      <w:jc w:val="both"/>
    </w:pPr>
    <w:rPr>
      <w:rFonts w:ascii="Times New Roman" w:hAnsi="Times New Roman" w:eastAsia="宋体" w:cs="Times New Roman"/>
      <w:kern w:val="2"/>
      <w:sz w:val="24"/>
      <w:lang w:val="en-US" w:eastAsia="zh-CN" w:bidi="ar-SA"/>
    </w:rPr>
  </w:style>
  <w:style w:type="character" w:customStyle="1" w:styleId="21">
    <w:name w:val="公文标题2 Char"/>
    <w:link w:val="16"/>
    <w:qFormat/>
    <w:uiPriority w:val="0"/>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1584</Words>
  <Characters>1585</Characters>
  <Lines>85</Lines>
  <Paragraphs>63</Paragraphs>
  <TotalTime>0</TotalTime>
  <ScaleCrop>false</ScaleCrop>
  <LinksUpToDate>false</LinksUpToDate>
  <CharactersWithSpaces>1585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2023-02-25T01:36:00Z</dcterms:created>
  <dc:creator>因果不空</dc:creator>
  <cp:lastModifiedBy>Administrator</cp:lastModifiedBy>
  <cp:lastPrinted>2025-03-20T18:05:00Z</cp:lastPrinted>
  <dcterms:modified xsi:type="dcterms:W3CDTF">2025-06-10T02:34:30Z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A4BEA7B77E1B76C205A8E36712890C33_43</vt:lpwstr>
  </property>
  <property fmtid="{D5CDD505-2E9C-101B-9397-08002B2CF9AE}" pid="4" name="KSOTemplateDocerSaveRecord">
    <vt:lpwstr>eyJoZGlkIjoiODIxMTI0OTI0MDFhMmU3NmJmNzE1N2QxMTZkMTdmY2QifQ==</vt:lpwstr>
  </property>
</Properties>
</file>