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11B0C">
      <w:pPr>
        <w:suppressAutoHyphens/>
        <w:bidi w:val="0"/>
        <w:adjustRightInd w:val="0"/>
        <w:snapToGrid w:val="0"/>
        <w:spacing w:line="578" w:lineRule="exact"/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  <w:lang w:bidi="ar"/>
        </w:rPr>
        <w:t>附件</w:t>
      </w:r>
    </w:p>
    <w:p w14:paraId="5F1265F6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172F446">
      <w:pPr>
        <w:suppressAutoHyphens/>
        <w:bidi w:val="0"/>
        <w:adjustRightInd w:val="0"/>
        <w:snapToGrid w:val="0"/>
        <w:spacing w:line="578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lang w:bidi="ar"/>
        </w:rPr>
        <w:t>达州市政府立法项目储备库</w:t>
      </w:r>
    </w:p>
    <w:p w14:paraId="468E27EB">
      <w:pPr>
        <w:widowControl w:val="0"/>
        <w:adjustRightInd w:val="0"/>
        <w:snapToGrid w:val="0"/>
        <w:spacing w:before="0" w:beforeAutospacing="0" w:after="0" w:afterAutospacing="0" w:line="578" w:lineRule="exact"/>
        <w:jc w:val="center"/>
        <w:rPr>
          <w:rFonts w:ascii="Times New Roman" w:hAnsi="Times New Roman" w:eastAsia="楷体_gb2312" w:cs="Times New Roman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楷体_gb2312" w:cs="Times New Roman"/>
          <w:color w:val="000000"/>
          <w:kern w:val="2"/>
          <w:sz w:val="32"/>
          <w:szCs w:val="32"/>
          <w:lang w:val="en-US" w:eastAsia="zh-CN" w:bidi="ar"/>
        </w:rPr>
        <w:t>（调整后）</w:t>
      </w:r>
    </w:p>
    <w:p w14:paraId="6C3A6BEC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</w:p>
    <w:p w14:paraId="35513FE6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一、城乡建设与管理</w:t>
      </w:r>
    </w:p>
    <w:p w14:paraId="38C87735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1．土地储备管理办法</w:t>
      </w:r>
    </w:p>
    <w:p w14:paraId="1D068F58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2．土地出让管理办法</w:t>
      </w:r>
    </w:p>
    <w:p w14:paraId="1EB11F90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3．土地征收及补偿安置办法</w:t>
      </w:r>
    </w:p>
    <w:p w14:paraId="48F19686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4．地名管理办法</w:t>
      </w:r>
    </w:p>
    <w:p w14:paraId="23AD0A74">
      <w:pPr>
        <w:pStyle w:val="2"/>
        <w:suppressAutoHyphens/>
        <w:bidi w:val="0"/>
        <w:adjustRightInd w:val="0"/>
        <w:snapToGrid w:val="0"/>
        <w:spacing w:after="0" w:line="578" w:lineRule="exact"/>
        <w:ind w:left="0" w:leftChars="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kern w:val="0"/>
          <w:szCs w:val="32"/>
        </w:rPr>
        <w:t>5．地址管理办法</w:t>
      </w:r>
    </w:p>
    <w:p w14:paraId="4A329280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6．城市地下空间开发利用管理办法</w:t>
      </w:r>
    </w:p>
    <w:p w14:paraId="24C701DF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7．城市地下综合管廊管理办法</w:t>
      </w:r>
    </w:p>
    <w:p w14:paraId="621A1DDB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8．城市管线管理办法</w:t>
      </w:r>
    </w:p>
    <w:p w14:paraId="634580A3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9．城市照明管理办法</w:t>
      </w:r>
    </w:p>
    <w:p w14:paraId="12193110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10．数字化城市管理办法</w:t>
      </w:r>
    </w:p>
    <w:p w14:paraId="5A2D7088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11．城市居住区配套设施管理办法</w:t>
      </w:r>
    </w:p>
    <w:p w14:paraId="3DBED9F2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12．城市临街建筑外立面管理办法</w:t>
      </w:r>
    </w:p>
    <w:p w14:paraId="130B0B52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13．城区道路交通安全设施管理办法</w:t>
      </w:r>
    </w:p>
    <w:p w14:paraId="3D3FF2EC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14．无障碍环境建设管理办法</w:t>
      </w:r>
    </w:p>
    <w:p w14:paraId="5F85745B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15．中小学幼儿园规划建设管理办法</w:t>
      </w:r>
    </w:p>
    <w:p w14:paraId="3442C76A">
      <w:pPr>
        <w:pStyle w:val="2"/>
        <w:suppressAutoHyphens/>
        <w:bidi w:val="0"/>
        <w:adjustRightInd w:val="0"/>
        <w:snapToGrid w:val="0"/>
        <w:spacing w:after="0" w:line="578" w:lineRule="exact"/>
        <w:ind w:left="0" w:leftChars="0" w:firstLine="64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16．新村规划建设管理办法</w:t>
      </w:r>
    </w:p>
    <w:p w14:paraId="38A62FAF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17．房屋安全管理办法</w:t>
      </w:r>
    </w:p>
    <w:p w14:paraId="66C5A1BC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18．建设工程施工安全管理办法</w:t>
      </w:r>
    </w:p>
    <w:p w14:paraId="1B6EF463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19．政府投资工程集中建设管理办法</w:t>
      </w:r>
    </w:p>
    <w:p w14:paraId="13BF576F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20．建筑装修装饰管理办法</w:t>
      </w:r>
    </w:p>
    <w:p w14:paraId="523D303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21．城市建筑垃圾管理办法</w:t>
      </w:r>
    </w:p>
    <w:p w14:paraId="0C4E344C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22．住宅专项维修资金管理办法</w:t>
      </w:r>
    </w:p>
    <w:p w14:paraId="2F404102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23．高层民用建筑消防安全管理办法</w:t>
      </w:r>
    </w:p>
    <w:p w14:paraId="4F082D43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24．城镇居民住宅二次供水管理办法</w:t>
      </w:r>
    </w:p>
    <w:p w14:paraId="1C74B803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25．城市排水管理办法</w:t>
      </w:r>
    </w:p>
    <w:p w14:paraId="2D3D2A1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26．城市防洪排涝管理办法</w:t>
      </w:r>
    </w:p>
    <w:p w14:paraId="7ABC730C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27．供用电安全管理办法</w:t>
      </w:r>
    </w:p>
    <w:p w14:paraId="7B07AF01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28．消防水源管理办法</w:t>
      </w:r>
    </w:p>
    <w:p w14:paraId="58E54029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29．电梯安全管理办法</w:t>
      </w:r>
    </w:p>
    <w:p w14:paraId="413FAF97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30．森林防火办法</w:t>
      </w:r>
    </w:p>
    <w:p w14:paraId="0264E631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31．公共休闲场地管理办法</w:t>
      </w:r>
    </w:p>
    <w:p w14:paraId="0104F713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32．城市公厕管理办法</w:t>
      </w:r>
    </w:p>
    <w:p w14:paraId="5DB77851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33．机场净空和电磁环境保护管理办法</w:t>
      </w:r>
    </w:p>
    <w:p w14:paraId="1A4C2265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34．石油天然气管道保护管理办法</w:t>
      </w:r>
    </w:p>
    <w:p w14:paraId="3EEABD98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35．餐饮业油烟污染防治管理办法</w:t>
      </w:r>
    </w:p>
    <w:p w14:paraId="0086589D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36．粮食储备管理办法</w:t>
      </w:r>
    </w:p>
    <w:p w14:paraId="77CA7721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37．快递市场管理办法</w:t>
      </w:r>
    </w:p>
    <w:p w14:paraId="2382CB47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38．电子商务促进与管理办法</w:t>
      </w:r>
    </w:p>
    <w:p w14:paraId="6C43717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39．市政公共资源有偿使用管理办法</w:t>
      </w:r>
    </w:p>
    <w:p w14:paraId="55E9D56F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40．公共</w:t>
      </w:r>
      <w:r>
        <w:rPr>
          <w:rFonts w:ascii="Times New Roman" w:hAnsi="Times New Roman" w:eastAsia="仿宋_GB2312"/>
          <w:kern w:val="0"/>
          <w:sz w:val="32"/>
          <w:szCs w:val="32"/>
        </w:rPr>
        <w:t>数据管理办法</w:t>
      </w:r>
    </w:p>
    <w:p w14:paraId="73A01EEB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41．公共安全视频系统管理办法</w:t>
      </w:r>
    </w:p>
    <w:p w14:paraId="16EC93C7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42．应急保障办法</w:t>
      </w:r>
    </w:p>
    <w:p w14:paraId="4902CA8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43．乡村公路管理养护管理办法</w:t>
      </w:r>
    </w:p>
    <w:p w14:paraId="27B325E6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44．农村供水管理办法</w:t>
      </w:r>
    </w:p>
    <w:p w14:paraId="39BB59BB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45．农村村民住房建设管理办法</w:t>
      </w:r>
    </w:p>
    <w:p w14:paraId="318F69CA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46．促进美丽乡村建设办法</w:t>
      </w:r>
    </w:p>
    <w:p w14:paraId="1D81ABA5">
      <w:pPr>
        <w:pStyle w:val="2"/>
        <w:suppressAutoHyphens/>
        <w:bidi w:val="0"/>
        <w:adjustRightInd w:val="0"/>
        <w:snapToGrid w:val="0"/>
        <w:spacing w:after="0" w:line="578" w:lineRule="exact"/>
        <w:ind w:left="0" w:leftChars="0" w:firstLine="64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47．法治乡村建设管理办法</w:t>
      </w:r>
    </w:p>
    <w:p w14:paraId="57132EC2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二、生态文明建设</w:t>
      </w:r>
    </w:p>
    <w:p w14:paraId="0E88EBD4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1．城市园林绿化管理办法</w:t>
      </w:r>
    </w:p>
    <w:p w14:paraId="3AFD534A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2．城市绿线管理办法</w:t>
      </w:r>
    </w:p>
    <w:p w14:paraId="6123BE43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3．海绵城市建设管理办法</w:t>
      </w:r>
    </w:p>
    <w:p w14:paraId="4C2829F1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4．居住区附属绿化管理办法</w:t>
      </w:r>
    </w:p>
    <w:p w14:paraId="6D41C56F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5．建筑节能管理办法</w:t>
      </w:r>
    </w:p>
    <w:p w14:paraId="2BAC125A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6．绿色建筑管理办法</w:t>
      </w:r>
    </w:p>
    <w:p w14:paraId="295359F4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7．生活垃圾管理办法</w:t>
      </w:r>
    </w:p>
    <w:p w14:paraId="05FA6DB1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8．餐厨垃圾管理办法</w:t>
      </w:r>
    </w:p>
    <w:p w14:paraId="75711C88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9．医疗废物管理办法</w:t>
      </w:r>
    </w:p>
    <w:p w14:paraId="605F9DB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10．农业废弃物管理办法</w:t>
      </w:r>
    </w:p>
    <w:p w14:paraId="7534E125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11．扬尘污染防治管理办法</w:t>
      </w:r>
    </w:p>
    <w:p w14:paraId="11FEDA31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12．畜禽养殖污染防治管理办法</w:t>
      </w:r>
    </w:p>
    <w:p w14:paraId="5F0FE3F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13．河道保护管理办法</w:t>
      </w:r>
    </w:p>
    <w:p w14:paraId="0AF08B97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14．水土保持管理办法</w:t>
      </w:r>
    </w:p>
    <w:p w14:paraId="6FDE8B18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15．州河水质保护管理办法</w:t>
      </w:r>
    </w:p>
    <w:p w14:paraId="075ACCB7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16．渠江流域生态环境保护管理办法</w:t>
      </w:r>
    </w:p>
    <w:p w14:paraId="19A1DE8A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17．生态文明建设促进办法</w:t>
      </w:r>
    </w:p>
    <w:p w14:paraId="770A2F0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三、历史文化保护</w:t>
      </w:r>
    </w:p>
    <w:p w14:paraId="1B30C06F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1．地方志工作办法</w:t>
      </w:r>
    </w:p>
    <w:p w14:paraId="02A732D6">
      <w:pPr>
        <w:tabs>
          <w:tab w:val="left" w:pos="6131"/>
        </w:tabs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2．古树名木保护管理办法</w:t>
      </w:r>
      <w:r>
        <w:rPr>
          <w:rFonts w:ascii="Times New Roman" w:hAnsi="Times New Roman" w:eastAsia="仿宋_GB2312"/>
          <w:kern w:val="0"/>
          <w:sz w:val="32"/>
          <w:szCs w:val="32"/>
        </w:rPr>
        <w:tab/>
      </w:r>
    </w:p>
    <w:p w14:paraId="3C90D639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3．传统工艺美术保护和发展办法</w:t>
      </w:r>
    </w:p>
    <w:p w14:paraId="127DE26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4．革命老区振兴发展促进办法</w:t>
      </w:r>
    </w:p>
    <w:p w14:paraId="1EF4F86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5．非物质文化遗产管理办法</w:t>
      </w:r>
    </w:p>
    <w:p w14:paraId="272A2E36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6．传统风貌建筑保护管理办法</w:t>
      </w:r>
    </w:p>
    <w:p w14:paraId="465214F9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7．地方特色食品传承与发展办法</w:t>
      </w:r>
    </w:p>
    <w:p w14:paraId="71C2276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四、基层治理</w:t>
      </w:r>
    </w:p>
    <w:p w14:paraId="26FDAC91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1．养老服务管理办法</w:t>
      </w:r>
    </w:p>
    <w:p w14:paraId="623A983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2．农村留守儿童关爱保护管理办法</w:t>
      </w:r>
    </w:p>
    <w:p w14:paraId="573D3010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3．残疾人保障管理办法</w:t>
      </w:r>
    </w:p>
    <w:p w14:paraId="19A234F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4．志愿服务管理办法</w:t>
      </w:r>
    </w:p>
    <w:p w14:paraId="2805CC1E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5．社区治理管理办法</w:t>
      </w:r>
    </w:p>
    <w:p w14:paraId="3A9A0FE2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6．社会心理服务管理办法</w:t>
      </w:r>
    </w:p>
    <w:p w14:paraId="7D203333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7．城乡网格化服务管理办法</w:t>
      </w:r>
    </w:p>
    <w:p w14:paraId="5B7BB2FA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8．公共法律服务促进管理办法</w:t>
      </w:r>
    </w:p>
    <w:p w14:paraId="5C648BD3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9．矛盾纠纷多元化解管理办法</w:t>
      </w:r>
    </w:p>
    <w:p w14:paraId="77F9F196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10．行政执法协调管理办法</w:t>
      </w:r>
    </w:p>
    <w:p w14:paraId="37B27E65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11．旅游市场监督管理办法</w:t>
      </w:r>
    </w:p>
    <w:p w14:paraId="6AD77341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12．住宿业管理办法</w:t>
      </w:r>
    </w:p>
    <w:p w14:paraId="4862AA54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13．房地产中介服务管理办法</w:t>
      </w:r>
    </w:p>
    <w:p w14:paraId="17EB6B3B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14．客运出租汽车管理办法</w:t>
      </w:r>
    </w:p>
    <w:p w14:paraId="19651FA1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15．网络预约出租汽车经营服务管理办法</w:t>
      </w:r>
    </w:p>
    <w:p w14:paraId="5823E65B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16．小广告发布管理办法</w:t>
      </w:r>
    </w:p>
    <w:p w14:paraId="44C51C32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17．活禽交易屠宰管理办法</w:t>
      </w:r>
    </w:p>
    <w:p w14:paraId="3851FD23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18．食品安全监督管理办法</w:t>
      </w:r>
    </w:p>
    <w:p w14:paraId="2C2F4C2C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19．网络餐饮服务食品安全管理办法</w:t>
      </w:r>
    </w:p>
    <w:p w14:paraId="52DCB912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20．瓶装液化石油气安全管理办法</w:t>
      </w:r>
    </w:p>
    <w:p w14:paraId="7E7AC8FA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21．居住证管理办法</w:t>
      </w:r>
    </w:p>
    <w:p w14:paraId="7D363F1C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22．养犬管理办法</w:t>
      </w:r>
    </w:p>
    <w:p w14:paraId="7AA3EABF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23．献血管理办法</w:t>
      </w:r>
    </w:p>
    <w:p w14:paraId="5978D9A5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24．反家庭暴力管理办法</w:t>
      </w:r>
    </w:p>
    <w:p w14:paraId="5DBE8329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25．民办培训机构管理办法</w:t>
      </w:r>
    </w:p>
    <w:p w14:paraId="72E0B452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26．民营企业权益保护管理办法</w:t>
      </w:r>
    </w:p>
    <w:p w14:paraId="5B440A5C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27．行业协会管理办法</w:t>
      </w:r>
    </w:p>
    <w:p w14:paraId="67C73F53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28．全民健身管理办法</w:t>
      </w:r>
    </w:p>
    <w:p w14:paraId="68C4FADF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29．会展业管理办法</w:t>
      </w:r>
    </w:p>
    <w:p w14:paraId="486E3167">
      <w:pPr>
        <w:suppressAutoHyphens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30．网约房治安管理办法</w:t>
      </w:r>
    </w:p>
    <w:p w14:paraId="5C4067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07444"/>
    <w:rsid w:val="42A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2025-09-15T06:47:00Z</dcterms:created>
  <dc:creator>姿势就是力量</dc:creator>
  <cp:lastModifiedBy>姿势就是力量</cp:lastModifiedBy>
  <dcterms:modified xsi:type="dcterms:W3CDTF">2025-09-15T06:47:26Z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35C8D365E790458FB0D78C2E850E8676_11</vt:lpwstr>
  </property>
  <property fmtid="{D5CDD505-2E9C-101B-9397-08002B2CF9AE}" pid="4" name="KSOTemplateDocerSaveRecord">
    <vt:lpwstr>eyJoZGlkIjoiMzFhOGNlZDk3Y2M1ZDBlMjRmNmQwNjBjZDc4ZDAzYzgiLCJ1c2VySWQiOiI1OTA3MDEyMjMifQ==</vt:lpwstr>
  </property>
</Properties>
</file>